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CDC3" w14:textId="389B6E92" w:rsidR="00480F8F" w:rsidRPr="00CC13B7" w:rsidRDefault="00480F8F" w:rsidP="00F64E7C">
      <w:pPr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13B7">
        <w:rPr>
          <w:rFonts w:ascii="Times New Roman" w:hAnsi="Times New Roman" w:cs="Times New Roman"/>
          <w:b/>
          <w:sz w:val="24"/>
          <w:szCs w:val="24"/>
        </w:rPr>
        <w:t xml:space="preserve">Elektros </w:t>
      </w:r>
      <w:r w:rsidR="00AE3EFC">
        <w:rPr>
          <w:rFonts w:ascii="Times New Roman" w:hAnsi="Times New Roman" w:cs="Times New Roman"/>
          <w:b/>
          <w:sz w:val="24"/>
          <w:szCs w:val="24"/>
        </w:rPr>
        <w:t xml:space="preserve">energetikos </w:t>
      </w:r>
      <w:r w:rsidRPr="00CC13B7">
        <w:rPr>
          <w:rFonts w:ascii="Times New Roman" w:hAnsi="Times New Roman" w:cs="Times New Roman"/>
          <w:b/>
          <w:sz w:val="24"/>
          <w:szCs w:val="24"/>
        </w:rPr>
        <w:t>įrengini</w:t>
      </w:r>
      <w:r>
        <w:rPr>
          <w:rFonts w:ascii="Times New Roman" w:hAnsi="Times New Roman" w:cs="Times New Roman"/>
          <w:b/>
          <w:sz w:val="24"/>
          <w:szCs w:val="24"/>
        </w:rPr>
        <w:t>ų darb</w:t>
      </w:r>
      <w:r w:rsidR="00BA49A0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AE3E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stichinių reiškinių spąst</w:t>
      </w:r>
      <w:r w:rsidR="00BA49A0">
        <w:rPr>
          <w:rFonts w:ascii="Times New Roman" w:hAnsi="Times New Roman" w:cs="Times New Roman"/>
          <w:b/>
          <w:sz w:val="24"/>
          <w:szCs w:val="24"/>
        </w:rPr>
        <w:t>uose</w:t>
      </w:r>
    </w:p>
    <w:p w14:paraId="71CF7F17" w14:textId="77777777" w:rsidR="00480F8F" w:rsidRDefault="00480F8F" w:rsidP="00F64E7C">
      <w:pPr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1FF">
        <w:rPr>
          <w:rFonts w:ascii="Times New Roman" w:hAnsi="Times New Roman" w:cs="Times New Roman"/>
          <w:b/>
          <w:sz w:val="24"/>
          <w:szCs w:val="24"/>
        </w:rPr>
        <w:t>Pernai nepertraukiamam elektros energijos tiekimui tikruoju išbandymu</w:t>
      </w:r>
      <w:r w:rsidRPr="00F2786C">
        <w:rPr>
          <w:rFonts w:ascii="Times New Roman" w:hAnsi="Times New Roman" w:cs="Times New Roman"/>
          <w:b/>
          <w:sz w:val="24"/>
          <w:szCs w:val="24"/>
        </w:rPr>
        <w:t xml:space="preserve"> buvo</w:t>
      </w:r>
      <w:r w:rsidRPr="00A731FF">
        <w:rPr>
          <w:rFonts w:ascii="Times New Roman" w:hAnsi="Times New Roman" w:cs="Times New Roman"/>
          <w:b/>
          <w:sz w:val="24"/>
          <w:szCs w:val="24"/>
        </w:rPr>
        <w:t xml:space="preserve"> gamtos šėlsmas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d</w:t>
      </w:r>
      <w:r w:rsidRPr="00A731FF">
        <w:rPr>
          <w:rFonts w:ascii="Times New Roman" w:hAnsi="Times New Roman" w:cs="Times New Roman"/>
          <w:b/>
          <w:sz w:val="24"/>
          <w:szCs w:val="24"/>
        </w:rPr>
        <w:t xml:space="preserve">ėl gūsingo vėjo, sniego, žaibų iškrovų </w:t>
      </w:r>
      <w:r>
        <w:rPr>
          <w:rFonts w:ascii="Times New Roman" w:hAnsi="Times New Roman" w:cs="Times New Roman"/>
          <w:b/>
          <w:sz w:val="24"/>
          <w:szCs w:val="24"/>
        </w:rPr>
        <w:t xml:space="preserve">elektros įrenginiuose </w:t>
      </w:r>
      <w:r w:rsidRPr="00A731FF">
        <w:rPr>
          <w:rFonts w:ascii="Times New Roman" w:hAnsi="Times New Roman" w:cs="Times New Roman"/>
          <w:b/>
          <w:sz w:val="24"/>
          <w:szCs w:val="24"/>
        </w:rPr>
        <w:t>be elektros 2017 m. buvo likę per 264,5 tūkst. vartotojų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4B799C" w14:textId="77777777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602F75">
        <w:rPr>
          <w:rFonts w:ascii="Times New Roman" w:hAnsi="Times New Roman" w:cs="Times New Roman"/>
          <w:sz w:val="24"/>
          <w:szCs w:val="24"/>
        </w:rPr>
        <w:t xml:space="preserve">Valstybinės energetikos inspekcijos prie Energetikos ministerijos (VEI) viršininko įsakymu sudarytos komisijos </w:t>
      </w:r>
      <w:r>
        <w:rPr>
          <w:rFonts w:ascii="Times New Roman" w:hAnsi="Times New Roman" w:cs="Times New Roman"/>
          <w:sz w:val="24"/>
          <w:szCs w:val="24"/>
        </w:rPr>
        <w:t xml:space="preserve">per 2017 m. ištyrė 12 sutrikimų ir vieną energetikos įrenginių avariją, iš kurių </w:t>
      </w:r>
      <w:r w:rsidRPr="00B60CB2">
        <w:rPr>
          <w:rFonts w:ascii="Times New Roman" w:hAnsi="Times New Roman" w:cs="Times New Roman"/>
          <w:sz w:val="24"/>
          <w:szCs w:val="24"/>
        </w:rPr>
        <w:t>keturi sutrikimai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B60CB2">
        <w:rPr>
          <w:rFonts w:ascii="Times New Roman" w:hAnsi="Times New Roman" w:cs="Times New Roman"/>
          <w:sz w:val="24"/>
          <w:szCs w:val="24"/>
        </w:rPr>
        <w:t xml:space="preserve"> avarija</w:t>
      </w:r>
      <w:r>
        <w:rPr>
          <w:rFonts w:ascii="Times New Roman" w:hAnsi="Times New Roman" w:cs="Times New Roman"/>
          <w:sz w:val="24"/>
          <w:szCs w:val="24"/>
        </w:rPr>
        <w:t xml:space="preserve"> įvyko dėl stichinių reiškinių.</w:t>
      </w:r>
    </w:p>
    <w:p w14:paraId="2A853103" w14:textId="77777777" w:rsidR="00480F8F" w:rsidRPr="00BE2C6B" w:rsidRDefault="00480F8F" w:rsidP="00F64E7C">
      <w:pPr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E2C6B">
        <w:rPr>
          <w:rFonts w:ascii="Times New Roman" w:hAnsi="Times New Roman" w:cs="Times New Roman"/>
          <w:b/>
          <w:sz w:val="24"/>
          <w:szCs w:val="24"/>
        </w:rPr>
        <w:t>tichijos</w:t>
      </w:r>
      <w:r w:rsidRPr="009669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atvėrė problemas</w:t>
      </w:r>
    </w:p>
    <w:p w14:paraId="52B603AD" w14:textId="095131AE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41BFF">
        <w:rPr>
          <w:rFonts w:ascii="Times New Roman" w:hAnsi="Times New Roman" w:cs="Times New Roman"/>
          <w:sz w:val="24"/>
          <w:szCs w:val="24"/>
        </w:rPr>
        <w:t>er šventinį Velykų savaitgalį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1B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1BF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41BFF">
        <w:rPr>
          <w:rFonts w:ascii="Times New Roman" w:hAnsi="Times New Roman" w:cs="Times New Roman"/>
          <w:sz w:val="24"/>
          <w:szCs w:val="24"/>
        </w:rPr>
        <w:t>alandžio 16–17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netikėtai </w:t>
      </w:r>
      <w:r w:rsidRPr="00C41BFF">
        <w:rPr>
          <w:rFonts w:ascii="Times New Roman" w:hAnsi="Times New Roman" w:cs="Times New Roman"/>
          <w:sz w:val="24"/>
          <w:szCs w:val="24"/>
        </w:rPr>
        <w:t>iškritęs sniegas be elektros buvo palikęs per 80 tūkst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šalies</w:t>
      </w:r>
      <w:r w:rsidRPr="00C41BFF">
        <w:rPr>
          <w:rFonts w:ascii="Times New Roman" w:hAnsi="Times New Roman" w:cs="Times New Roman"/>
          <w:sz w:val="24"/>
          <w:szCs w:val="24"/>
        </w:rPr>
        <w:t xml:space="preserve"> gyventojų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1BFF">
        <w:rPr>
          <w:rFonts w:ascii="Times New Roman" w:hAnsi="Times New Roman" w:cs="Times New Roman"/>
          <w:sz w:val="24"/>
          <w:szCs w:val="24"/>
        </w:rPr>
        <w:t>tiprus ir šlapi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4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BFF">
        <w:rPr>
          <w:rFonts w:ascii="Times New Roman" w:hAnsi="Times New Roman" w:cs="Times New Roman"/>
          <w:sz w:val="24"/>
          <w:szCs w:val="24"/>
        </w:rPr>
        <w:t>snygi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sutrikdė </w:t>
      </w:r>
      <w:r w:rsidRPr="00C41BFF">
        <w:rPr>
          <w:rFonts w:ascii="Times New Roman" w:hAnsi="Times New Roman" w:cs="Times New Roman"/>
          <w:sz w:val="24"/>
          <w:szCs w:val="24"/>
        </w:rPr>
        <w:t xml:space="preserve">AB „Energijos skirstymo operatorius“ (ESO) </w:t>
      </w:r>
      <w:r>
        <w:rPr>
          <w:rFonts w:ascii="Times New Roman" w:hAnsi="Times New Roman" w:cs="Times New Roman"/>
          <w:sz w:val="24"/>
          <w:szCs w:val="24"/>
        </w:rPr>
        <w:t>skirstomųjų tinklų darbą. Į</w:t>
      </w:r>
      <w:r w:rsidRPr="00C41BFF">
        <w:rPr>
          <w:rFonts w:ascii="Times New Roman" w:hAnsi="Times New Roman" w:cs="Times New Roman"/>
          <w:sz w:val="24"/>
          <w:szCs w:val="24"/>
        </w:rPr>
        <w:t xml:space="preserve">vyko 35–110 </w:t>
      </w:r>
      <w:proofErr w:type="spellStart"/>
      <w:r w:rsidRPr="00C41BFF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C41BFF">
        <w:rPr>
          <w:rFonts w:ascii="Times New Roman" w:hAnsi="Times New Roman" w:cs="Times New Roman"/>
          <w:sz w:val="24"/>
          <w:szCs w:val="24"/>
        </w:rPr>
        <w:t xml:space="preserve"> transformatorių pastočių ir 0,4–35 </w:t>
      </w:r>
      <w:proofErr w:type="spellStart"/>
      <w:r w:rsidRPr="00C41BFF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C41BFF">
        <w:rPr>
          <w:rFonts w:ascii="Times New Roman" w:hAnsi="Times New Roman" w:cs="Times New Roman"/>
          <w:sz w:val="24"/>
          <w:szCs w:val="24"/>
        </w:rPr>
        <w:t xml:space="preserve"> įtampos elektros linijų ir įrenginių atsijungimai </w:t>
      </w:r>
      <w:r>
        <w:rPr>
          <w:rFonts w:ascii="Times New Roman" w:hAnsi="Times New Roman" w:cs="Times New Roman"/>
          <w:sz w:val="24"/>
          <w:szCs w:val="24"/>
        </w:rPr>
        <w:t>bei</w:t>
      </w:r>
      <w:r w:rsidRPr="00C41BFF">
        <w:rPr>
          <w:rFonts w:ascii="Times New Roman" w:hAnsi="Times New Roman" w:cs="Times New Roman"/>
          <w:sz w:val="24"/>
          <w:szCs w:val="24"/>
        </w:rPr>
        <w:t xml:space="preserve"> gedimai</w:t>
      </w:r>
      <w:r w:rsidR="00E41527">
        <w:rPr>
          <w:rFonts w:ascii="Times New Roman" w:hAnsi="Times New Roman" w:cs="Times New Roman"/>
          <w:sz w:val="24"/>
          <w:szCs w:val="24"/>
        </w:rPr>
        <w:t xml:space="preserve">, kurių </w:t>
      </w:r>
      <w:r>
        <w:rPr>
          <w:rFonts w:ascii="Times New Roman" w:hAnsi="Times New Roman" w:cs="Times New Roman"/>
          <w:sz w:val="24"/>
          <w:szCs w:val="24"/>
        </w:rPr>
        <w:t>priskaičiuota per 396</w:t>
      </w:r>
      <w:r w:rsidRPr="00C41B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41BFF">
        <w:rPr>
          <w:rFonts w:ascii="Times New Roman" w:hAnsi="Times New Roman" w:cs="Times New Roman"/>
          <w:sz w:val="24"/>
          <w:szCs w:val="24"/>
        </w:rPr>
        <w:t xml:space="preserve">endras nepatiektos elektros energijos kiekis skirstomaisiais tinklais </w:t>
      </w:r>
      <w:r>
        <w:rPr>
          <w:rFonts w:ascii="Times New Roman" w:hAnsi="Times New Roman" w:cs="Times New Roman"/>
          <w:sz w:val="24"/>
          <w:szCs w:val="24"/>
        </w:rPr>
        <w:t xml:space="preserve">siekė </w:t>
      </w:r>
      <w:r w:rsidRPr="00C41BFF">
        <w:rPr>
          <w:rFonts w:ascii="Times New Roman" w:hAnsi="Times New Roman" w:cs="Times New Roman"/>
          <w:sz w:val="24"/>
          <w:szCs w:val="24"/>
        </w:rPr>
        <w:t>81,5 tūkst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BFF">
        <w:rPr>
          <w:rFonts w:ascii="Times New Roman" w:hAnsi="Times New Roman" w:cs="Times New Roman"/>
          <w:sz w:val="24"/>
          <w:szCs w:val="24"/>
        </w:rPr>
        <w:t xml:space="preserve"> MWh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594CA" w14:textId="2946BB2F" w:rsidR="000B080E" w:rsidRDefault="00AE3EFC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Siekiant, </w:t>
      </w:r>
      <w:r w:rsidRPr="00AE3EFC">
        <w:rPr>
          <w:rFonts w:ascii="Times New Roman" w:hAnsi="Times New Roman" w:cs="Times New Roman"/>
          <w:sz w:val="24"/>
          <w:szCs w:val="24"/>
        </w:rPr>
        <w:t xml:space="preserve">kad nutrūkęs elektros energijos tiekimas </w:t>
      </w:r>
      <w:r w:rsidR="00E41527">
        <w:rPr>
          <w:rFonts w:ascii="Times New Roman" w:hAnsi="Times New Roman" w:cs="Times New Roman"/>
          <w:sz w:val="24"/>
          <w:szCs w:val="24"/>
        </w:rPr>
        <w:t xml:space="preserve">skirstomaisiais tinklais </w:t>
      </w:r>
      <w:r w:rsidRPr="00AE3EFC">
        <w:rPr>
          <w:rFonts w:ascii="Times New Roman" w:hAnsi="Times New Roman" w:cs="Times New Roman"/>
          <w:sz w:val="24"/>
          <w:szCs w:val="24"/>
        </w:rPr>
        <w:t xml:space="preserve">būtų operatyviai atkurtas ir panašių </w:t>
      </w:r>
      <w:r w:rsidR="00E41527">
        <w:rPr>
          <w:rFonts w:ascii="Times New Roman" w:hAnsi="Times New Roman" w:cs="Times New Roman"/>
          <w:sz w:val="24"/>
          <w:szCs w:val="24"/>
        </w:rPr>
        <w:t>sutrikimų</w:t>
      </w:r>
      <w:r w:rsidRPr="00AE3EFC">
        <w:rPr>
          <w:rFonts w:ascii="Times New Roman" w:hAnsi="Times New Roman" w:cs="Times New Roman"/>
          <w:sz w:val="24"/>
          <w:szCs w:val="24"/>
        </w:rPr>
        <w:t xml:space="preserve"> būtų išvengta ateityje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80F8F">
        <w:rPr>
          <w:rFonts w:ascii="Times New Roman" w:hAnsi="Times New Roman" w:cs="Times New Roman"/>
          <w:sz w:val="24"/>
          <w:szCs w:val="24"/>
        </w:rPr>
        <w:t>yrimą atlikusi k</w:t>
      </w:r>
      <w:r w:rsidR="00480F8F" w:rsidRPr="00E178A2">
        <w:rPr>
          <w:rFonts w:ascii="Times New Roman" w:hAnsi="Times New Roman" w:cs="Times New Roman"/>
          <w:sz w:val="24"/>
          <w:szCs w:val="24"/>
        </w:rPr>
        <w:t xml:space="preserve">omisija </w:t>
      </w:r>
      <w:r w:rsidR="00480F8F">
        <w:rPr>
          <w:rFonts w:ascii="Times New Roman" w:hAnsi="Times New Roman" w:cs="Times New Roman"/>
          <w:sz w:val="24"/>
          <w:szCs w:val="24"/>
        </w:rPr>
        <w:t xml:space="preserve">nurodė </w:t>
      </w:r>
      <w:r>
        <w:rPr>
          <w:rFonts w:ascii="Times New Roman" w:hAnsi="Times New Roman" w:cs="Times New Roman"/>
          <w:sz w:val="24"/>
          <w:szCs w:val="24"/>
        </w:rPr>
        <w:t xml:space="preserve">ESO įgyvendinti </w:t>
      </w:r>
      <w:r w:rsidR="00E41527">
        <w:rPr>
          <w:rFonts w:ascii="Times New Roman" w:hAnsi="Times New Roman" w:cs="Times New Roman"/>
          <w:sz w:val="24"/>
          <w:szCs w:val="24"/>
        </w:rPr>
        <w:t xml:space="preserve">prevencines </w:t>
      </w:r>
      <w:r w:rsidR="00480F8F">
        <w:rPr>
          <w:rFonts w:ascii="Times New Roman" w:hAnsi="Times New Roman" w:cs="Times New Roman"/>
          <w:sz w:val="24"/>
          <w:szCs w:val="24"/>
        </w:rPr>
        <w:t>priemones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F8F">
        <w:rPr>
          <w:rFonts w:ascii="Times New Roman" w:hAnsi="Times New Roman" w:cs="Times New Roman"/>
          <w:sz w:val="24"/>
          <w:szCs w:val="24"/>
        </w:rPr>
        <w:t>Keletas iš jų</w:t>
      </w:r>
      <w:r w:rsidR="000B080E">
        <w:rPr>
          <w:rFonts w:ascii="Times New Roman" w:hAnsi="Times New Roman" w:cs="Times New Roman"/>
          <w:sz w:val="24"/>
          <w:szCs w:val="24"/>
        </w:rPr>
        <w:t>:</w:t>
      </w:r>
      <w:r w:rsidR="00480F8F">
        <w:rPr>
          <w:rFonts w:ascii="Times New Roman" w:hAnsi="Times New Roman" w:cs="Times New Roman"/>
          <w:sz w:val="24"/>
          <w:szCs w:val="24"/>
        </w:rPr>
        <w:t xml:space="preserve"> p</w:t>
      </w:r>
      <w:r w:rsidR="00480F8F" w:rsidRPr="003F4212">
        <w:rPr>
          <w:rFonts w:ascii="Times New Roman" w:hAnsi="Times New Roman" w:cs="Times New Roman"/>
          <w:sz w:val="24"/>
          <w:szCs w:val="24"/>
        </w:rPr>
        <w:t>apildyti su Lietuvos hidrometeorologijos tarnyba sudarytą sutartį, kad informacija apie meteorologinius reiškinius būtų pateikiama iš anksto, o tokį perspėjimą gavęs ESO Elektros tinklo Dispečerinio valdymo departamentas bet kuriuo paros metu informuotų ESO atsakingus asmenis apie artėjančią grėsmę</w:t>
      </w:r>
      <w:r w:rsidR="000B080E">
        <w:rPr>
          <w:rFonts w:ascii="Times New Roman" w:hAnsi="Times New Roman" w:cs="Times New Roman"/>
          <w:sz w:val="24"/>
          <w:szCs w:val="24"/>
        </w:rPr>
        <w:t xml:space="preserve">; </w:t>
      </w:r>
      <w:r w:rsidR="000B080E" w:rsidRPr="003F4212">
        <w:rPr>
          <w:rFonts w:ascii="Times New Roman" w:hAnsi="Times New Roman" w:cs="Times New Roman"/>
          <w:sz w:val="24"/>
          <w:szCs w:val="24"/>
        </w:rPr>
        <w:t>šalies regionuose</w:t>
      </w:r>
      <w:r w:rsidR="000B080E">
        <w:rPr>
          <w:rFonts w:ascii="Times New Roman" w:hAnsi="Times New Roman" w:cs="Times New Roman"/>
          <w:sz w:val="24"/>
          <w:szCs w:val="24"/>
        </w:rPr>
        <w:t xml:space="preserve"> </w:t>
      </w:r>
      <w:r w:rsidR="00480F8F">
        <w:rPr>
          <w:rFonts w:ascii="Times New Roman" w:hAnsi="Times New Roman" w:cs="Times New Roman"/>
          <w:sz w:val="24"/>
          <w:szCs w:val="24"/>
        </w:rPr>
        <w:t>n</w:t>
      </w:r>
      <w:r w:rsidR="00480F8F" w:rsidRPr="003F4212">
        <w:rPr>
          <w:rFonts w:ascii="Times New Roman" w:hAnsi="Times New Roman" w:cs="Times New Roman"/>
          <w:sz w:val="24"/>
          <w:szCs w:val="24"/>
        </w:rPr>
        <w:t>ustatyti minimalų pasitelkiamų operatyvinių brigadų, kurios šalins stichinių meteorologinių reiškinių sukeltus padarinius, skaičių, nurodyti jų sudėtį</w:t>
      </w:r>
      <w:r w:rsidR="000B080E">
        <w:rPr>
          <w:rFonts w:ascii="Times New Roman" w:hAnsi="Times New Roman" w:cs="Times New Roman"/>
          <w:sz w:val="24"/>
          <w:szCs w:val="24"/>
        </w:rPr>
        <w:t>;</w:t>
      </w:r>
      <w:r w:rsidR="00480F8F">
        <w:rPr>
          <w:rFonts w:ascii="Times New Roman" w:hAnsi="Times New Roman" w:cs="Times New Roman"/>
          <w:sz w:val="24"/>
          <w:szCs w:val="24"/>
        </w:rPr>
        <w:t xml:space="preserve"> o</w:t>
      </w:r>
      <w:r w:rsidR="00480F8F" w:rsidRPr="003F4212">
        <w:rPr>
          <w:rFonts w:ascii="Times New Roman" w:hAnsi="Times New Roman" w:cs="Times New Roman"/>
          <w:sz w:val="24"/>
          <w:szCs w:val="24"/>
        </w:rPr>
        <w:t xml:space="preserve">rganizuoti </w:t>
      </w:r>
      <w:r w:rsidR="00480F8F">
        <w:rPr>
          <w:rFonts w:ascii="Times New Roman" w:hAnsi="Times New Roman" w:cs="Times New Roman"/>
          <w:sz w:val="24"/>
          <w:szCs w:val="24"/>
        </w:rPr>
        <w:t>n</w:t>
      </w:r>
      <w:r w:rsidR="00480F8F" w:rsidRPr="00BE7BAB">
        <w:rPr>
          <w:rFonts w:ascii="Times New Roman" w:hAnsi="Times New Roman" w:cs="Times New Roman"/>
          <w:sz w:val="24"/>
          <w:szCs w:val="24"/>
        </w:rPr>
        <w:t>emokam</w:t>
      </w:r>
      <w:r w:rsidR="00480F8F">
        <w:rPr>
          <w:rFonts w:ascii="Times New Roman" w:hAnsi="Times New Roman" w:cs="Times New Roman"/>
          <w:sz w:val="24"/>
          <w:szCs w:val="24"/>
        </w:rPr>
        <w:t>o</w:t>
      </w:r>
      <w:r w:rsidR="00480F8F" w:rsidRPr="00BE7BAB">
        <w:rPr>
          <w:rFonts w:ascii="Times New Roman" w:hAnsi="Times New Roman" w:cs="Times New Roman"/>
          <w:sz w:val="24"/>
          <w:szCs w:val="24"/>
        </w:rPr>
        <w:t xml:space="preserve"> ir visą parą veikian</w:t>
      </w:r>
      <w:r w:rsidR="00480F8F">
        <w:rPr>
          <w:rFonts w:ascii="Times New Roman" w:hAnsi="Times New Roman" w:cs="Times New Roman"/>
          <w:sz w:val="24"/>
          <w:szCs w:val="24"/>
        </w:rPr>
        <w:t>čio</w:t>
      </w:r>
      <w:r w:rsidR="00480F8F" w:rsidRPr="00BE7BAB">
        <w:rPr>
          <w:rFonts w:ascii="Times New Roman" w:hAnsi="Times New Roman" w:cs="Times New Roman"/>
          <w:sz w:val="24"/>
          <w:szCs w:val="24"/>
        </w:rPr>
        <w:t xml:space="preserve"> elektros energijos tiekimo sutrikimų registravimo </w:t>
      </w:r>
      <w:r w:rsidR="00480F8F" w:rsidRPr="00214465">
        <w:rPr>
          <w:rFonts w:ascii="Times New Roman" w:hAnsi="Times New Roman" w:cs="Times New Roman"/>
          <w:sz w:val="24"/>
          <w:szCs w:val="24"/>
        </w:rPr>
        <w:t>numerio</w:t>
      </w:r>
      <w:r w:rsidR="00480F8F" w:rsidRPr="003F4212">
        <w:rPr>
          <w:rFonts w:ascii="Times New Roman" w:hAnsi="Times New Roman" w:cs="Times New Roman"/>
          <w:sz w:val="24"/>
          <w:szCs w:val="24"/>
        </w:rPr>
        <w:t xml:space="preserve">, kuriuo elektros energijos vartotojai galėtų pranešti apie elektros tinkluose įvykusius sutrikimus ar gedimus, įdiegimą. </w:t>
      </w:r>
      <w:r w:rsidR="000B080E">
        <w:rPr>
          <w:rFonts w:ascii="Times New Roman" w:hAnsi="Times New Roman" w:cs="Times New Roman"/>
          <w:sz w:val="24"/>
          <w:szCs w:val="24"/>
        </w:rPr>
        <w:t>Šios priemonės – įgyvendintos.</w:t>
      </w:r>
    </w:p>
    <w:p w14:paraId="46D4C537" w14:textId="77777777" w:rsidR="00480F8F" w:rsidRPr="003F4212" w:rsidRDefault="00480F8F" w:rsidP="00F64E7C">
      <w:pPr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Talžė </w:t>
      </w:r>
      <w:r w:rsidRPr="003F4212">
        <w:rPr>
          <w:rFonts w:ascii="Times New Roman" w:hAnsi="Times New Roman" w:cs="Times New Roman"/>
          <w:b/>
          <w:sz w:val="24"/>
          <w:szCs w:val="24"/>
        </w:rPr>
        <w:t xml:space="preserve">žaibų kirčiai </w:t>
      </w:r>
    </w:p>
    <w:p w14:paraId="6B9EA106" w14:textId="7F293CA0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Gamtos stichijos nerimo ir vasarą. B</w:t>
      </w:r>
      <w:r w:rsidRPr="0083300E">
        <w:rPr>
          <w:rFonts w:ascii="Times New Roman" w:hAnsi="Times New Roman" w:cs="Times New Roman"/>
          <w:sz w:val="24"/>
          <w:szCs w:val="24"/>
        </w:rPr>
        <w:t xml:space="preserve">irželio 15 d. trumpalaikį įtampos krytį Vilniaus mieste ir rajone lėmė į </w:t>
      </w:r>
      <w:r w:rsidR="000B080E" w:rsidRPr="0083300E">
        <w:rPr>
          <w:rFonts w:ascii="Times New Roman" w:hAnsi="Times New Roman" w:cs="Times New Roman"/>
          <w:sz w:val="24"/>
          <w:szCs w:val="24"/>
        </w:rPr>
        <w:t>LITGRID</w:t>
      </w:r>
      <w:r w:rsidRPr="0083300E">
        <w:rPr>
          <w:rFonts w:ascii="Times New Roman" w:hAnsi="Times New Roman" w:cs="Times New Roman"/>
          <w:sz w:val="24"/>
          <w:szCs w:val="24"/>
        </w:rPr>
        <w:t xml:space="preserve">, AB, 110 </w:t>
      </w:r>
      <w:proofErr w:type="spellStart"/>
      <w:r w:rsidRPr="0083300E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83300E">
        <w:rPr>
          <w:rFonts w:ascii="Times New Roman" w:hAnsi="Times New Roman" w:cs="Times New Roman"/>
          <w:sz w:val="24"/>
          <w:szCs w:val="24"/>
        </w:rPr>
        <w:t xml:space="preserve"> oro liniją, jungiančią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300E">
        <w:rPr>
          <w:rFonts w:ascii="Times New Roman" w:hAnsi="Times New Roman" w:cs="Times New Roman"/>
          <w:sz w:val="24"/>
          <w:szCs w:val="24"/>
        </w:rPr>
        <w:t>rečiąją Vilniaus termofikacinę elektrinę ir Vievį (TEC-3-Vievis), trenkęs žaibas.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0E">
        <w:rPr>
          <w:rFonts w:ascii="Times New Roman" w:hAnsi="Times New Roman" w:cs="Times New Roman"/>
          <w:sz w:val="24"/>
          <w:szCs w:val="24"/>
        </w:rPr>
        <w:t>Dėl žaibo iškrovos poveikio sumažėjo įtampa ir išsijungė dalis ESO elektros skirstymo tinklo įrenginių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300E">
        <w:rPr>
          <w:rFonts w:ascii="Times New Roman" w:hAnsi="Times New Roman" w:cs="Times New Roman"/>
          <w:sz w:val="24"/>
          <w:szCs w:val="24"/>
        </w:rPr>
        <w:t xml:space="preserve">elektros energijos vartotojų įrenginiai bei elektros prietaisai. </w:t>
      </w:r>
      <w:r w:rsidRPr="000F6D29">
        <w:rPr>
          <w:rFonts w:ascii="Times New Roman" w:hAnsi="Times New Roman" w:cs="Times New Roman"/>
          <w:sz w:val="24"/>
          <w:szCs w:val="24"/>
        </w:rPr>
        <w:t xml:space="preserve">Nors elektros energijos atkūrimas Vilniaus mieste ir rajone buvo sklandus, tačiau trumpalaikis įtampos krytis atskleidė </w:t>
      </w:r>
      <w:r>
        <w:rPr>
          <w:rFonts w:ascii="Times New Roman" w:hAnsi="Times New Roman" w:cs="Times New Roman"/>
          <w:sz w:val="24"/>
          <w:szCs w:val="24"/>
        </w:rPr>
        <w:t xml:space="preserve">kitas </w:t>
      </w:r>
      <w:r w:rsidRPr="000F6D29">
        <w:rPr>
          <w:rFonts w:ascii="Times New Roman" w:hAnsi="Times New Roman" w:cs="Times New Roman"/>
          <w:sz w:val="24"/>
          <w:szCs w:val="24"/>
        </w:rPr>
        <w:t>ESO</w:t>
      </w:r>
      <w:r>
        <w:rPr>
          <w:rFonts w:ascii="Times New Roman" w:hAnsi="Times New Roman" w:cs="Times New Roman"/>
          <w:sz w:val="24"/>
          <w:szCs w:val="24"/>
        </w:rPr>
        <w:t xml:space="preserve"> elektros įrenginių priežiūros </w:t>
      </w:r>
      <w:r w:rsidRPr="000F6D29">
        <w:rPr>
          <w:rFonts w:ascii="Times New Roman" w:hAnsi="Times New Roman" w:cs="Times New Roman"/>
          <w:sz w:val="24"/>
          <w:szCs w:val="24"/>
        </w:rPr>
        <w:t xml:space="preserve">problemas. </w:t>
      </w:r>
      <w:r>
        <w:rPr>
          <w:rFonts w:ascii="Times New Roman" w:hAnsi="Times New Roman" w:cs="Times New Roman"/>
          <w:sz w:val="24"/>
          <w:szCs w:val="24"/>
        </w:rPr>
        <w:t>Tyrimą atlikusi k</w:t>
      </w:r>
      <w:r w:rsidRPr="000F6D29">
        <w:rPr>
          <w:rFonts w:ascii="Times New Roman" w:hAnsi="Times New Roman" w:cs="Times New Roman"/>
          <w:sz w:val="24"/>
          <w:szCs w:val="24"/>
        </w:rPr>
        <w:t>omisija išsiaiškino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D29">
        <w:rPr>
          <w:rFonts w:ascii="Times New Roman" w:hAnsi="Times New Roman" w:cs="Times New Roman"/>
          <w:sz w:val="24"/>
          <w:szCs w:val="24"/>
        </w:rPr>
        <w:t xml:space="preserve"> kad ilgiau nei 30 minučių trukusį elektros tiekimo </w:t>
      </w:r>
      <w:r>
        <w:rPr>
          <w:rFonts w:ascii="Times New Roman" w:hAnsi="Times New Roman" w:cs="Times New Roman"/>
          <w:sz w:val="24"/>
          <w:szCs w:val="24"/>
        </w:rPr>
        <w:t xml:space="preserve">atkūrimą </w:t>
      </w:r>
      <w:r w:rsidRPr="000F6D29">
        <w:rPr>
          <w:rFonts w:ascii="Times New Roman" w:hAnsi="Times New Roman" w:cs="Times New Roman"/>
          <w:sz w:val="24"/>
          <w:szCs w:val="24"/>
        </w:rPr>
        <w:t>Lietuvos Respublikos Seimo rūm</w:t>
      </w:r>
      <w:r>
        <w:rPr>
          <w:rFonts w:ascii="Times New Roman" w:hAnsi="Times New Roman" w:cs="Times New Roman"/>
          <w:sz w:val="24"/>
          <w:szCs w:val="24"/>
        </w:rPr>
        <w:t>ams</w:t>
      </w:r>
      <w:r w:rsidRPr="000F6D29">
        <w:rPr>
          <w:rFonts w:ascii="Times New Roman" w:hAnsi="Times New Roman" w:cs="Times New Roman"/>
          <w:sz w:val="24"/>
          <w:szCs w:val="24"/>
        </w:rPr>
        <w:t xml:space="preserve"> lėmė ankstesnis ESO elektros įrenginio gedimas, kuris nebuvo laiku nustatytas ir pašalintas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45F69" w14:textId="593854F9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0B080E">
        <w:rPr>
          <w:rFonts w:ascii="Times New Roman" w:hAnsi="Times New Roman" w:cs="Times New Roman"/>
          <w:sz w:val="24"/>
          <w:szCs w:val="24"/>
        </w:rPr>
        <w:t>b</w:t>
      </w:r>
      <w:r w:rsidR="000B080E" w:rsidRPr="000B080E">
        <w:rPr>
          <w:rFonts w:ascii="Times New Roman" w:hAnsi="Times New Roman" w:cs="Times New Roman"/>
          <w:sz w:val="24"/>
          <w:szCs w:val="24"/>
        </w:rPr>
        <w:t xml:space="preserve">irželio 29 d. </w:t>
      </w:r>
      <w:r>
        <w:rPr>
          <w:rFonts w:ascii="Times New Roman" w:hAnsi="Times New Roman" w:cs="Times New Roman"/>
          <w:sz w:val="24"/>
          <w:szCs w:val="24"/>
        </w:rPr>
        <w:t xml:space="preserve">žaibo iškrovos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 linijoje sutriko antrosios Vilniaus termofikacinės elektrinės veikla. </w:t>
      </w:r>
      <w:r w:rsidR="000B08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lektrinės transformatorių pastotėje </w:t>
      </w:r>
      <w:r w:rsidRPr="00062E54">
        <w:rPr>
          <w:rFonts w:ascii="Times New Roman" w:hAnsi="Times New Roman" w:cs="Times New Roman"/>
          <w:sz w:val="24"/>
          <w:szCs w:val="24"/>
        </w:rPr>
        <w:t>atsijungė transformatoriaus T-2 įvadinis jungtuvas</w:t>
      </w:r>
      <w:r>
        <w:rPr>
          <w:rFonts w:ascii="Times New Roman" w:hAnsi="Times New Roman" w:cs="Times New Roman"/>
          <w:sz w:val="24"/>
          <w:szCs w:val="24"/>
        </w:rPr>
        <w:t xml:space="preserve">, kurio </w:t>
      </w:r>
      <w:r w:rsidRPr="00062E54">
        <w:rPr>
          <w:rFonts w:ascii="Times New Roman" w:hAnsi="Times New Roman" w:cs="Times New Roman"/>
          <w:sz w:val="24"/>
          <w:szCs w:val="24"/>
        </w:rPr>
        <w:t>nepavyko įjungti nuotoliniu būdu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062E54">
        <w:rPr>
          <w:rFonts w:ascii="Times New Roman" w:hAnsi="Times New Roman" w:cs="Times New Roman"/>
          <w:sz w:val="24"/>
          <w:szCs w:val="24"/>
        </w:rPr>
        <w:t xml:space="preserve">T-1 buvo atjungtas </w:t>
      </w: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062E54">
        <w:rPr>
          <w:rFonts w:ascii="Times New Roman" w:hAnsi="Times New Roman" w:cs="Times New Roman"/>
          <w:sz w:val="24"/>
          <w:szCs w:val="24"/>
        </w:rPr>
        <w:t xml:space="preserve">rekonstrukcijos. Atsijungus </w:t>
      </w:r>
      <w:r>
        <w:rPr>
          <w:rFonts w:ascii="Times New Roman" w:hAnsi="Times New Roman" w:cs="Times New Roman"/>
          <w:sz w:val="24"/>
          <w:szCs w:val="24"/>
        </w:rPr>
        <w:t>elektrinei</w:t>
      </w:r>
      <w:r w:rsidRPr="00062E54">
        <w:rPr>
          <w:rFonts w:ascii="Times New Roman" w:hAnsi="Times New Roman" w:cs="Times New Roman"/>
          <w:sz w:val="24"/>
          <w:szCs w:val="24"/>
        </w:rPr>
        <w:t xml:space="preserve"> nuo sistemos, atsijungė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062E54">
        <w:rPr>
          <w:rFonts w:ascii="Times New Roman" w:hAnsi="Times New Roman" w:cs="Times New Roman"/>
          <w:sz w:val="24"/>
          <w:szCs w:val="24"/>
        </w:rPr>
        <w:t xml:space="preserve"> generatorius</w:t>
      </w:r>
      <w:r>
        <w:rPr>
          <w:rFonts w:ascii="Times New Roman" w:hAnsi="Times New Roman" w:cs="Times New Roman"/>
          <w:sz w:val="24"/>
          <w:szCs w:val="24"/>
        </w:rPr>
        <w:t xml:space="preserve">. Elektros energijos tiekimas nutrūko per 11 tūkst. vartotojų, buvo nepagaminta 50,029 MWh elektros ir 267,35 MWh šiluminės energijos. Šio sutrikimo priežastys ne tik stichinių reiškinių poveikis, bet ir </w:t>
      </w:r>
      <w:r w:rsidRPr="0013268A">
        <w:rPr>
          <w:rFonts w:ascii="Times New Roman" w:hAnsi="Times New Roman" w:cs="Times New Roman"/>
          <w:sz w:val="24"/>
          <w:szCs w:val="24"/>
        </w:rPr>
        <w:t>įrenginių susidėvėjimas, medžiagų savybių pakitimas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D1F47" w14:textId="31AF4A32" w:rsidR="00480F8F" w:rsidRPr="00722345" w:rsidRDefault="00480F8F" w:rsidP="00F64E7C">
      <w:pPr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45">
        <w:rPr>
          <w:rFonts w:ascii="Times New Roman" w:hAnsi="Times New Roman" w:cs="Times New Roman"/>
          <w:b/>
          <w:sz w:val="24"/>
          <w:szCs w:val="24"/>
        </w:rPr>
        <w:t>Žal</w:t>
      </w:r>
      <w:r w:rsidR="000B080E">
        <w:rPr>
          <w:rFonts w:ascii="Times New Roman" w:hAnsi="Times New Roman" w:cs="Times New Roman"/>
          <w:b/>
          <w:sz w:val="24"/>
          <w:szCs w:val="24"/>
        </w:rPr>
        <w:t xml:space="preserve">ą nešė </w:t>
      </w:r>
      <w:r w:rsidRPr="00722345">
        <w:rPr>
          <w:rFonts w:ascii="Times New Roman" w:hAnsi="Times New Roman" w:cs="Times New Roman"/>
          <w:b/>
          <w:sz w:val="24"/>
          <w:szCs w:val="24"/>
        </w:rPr>
        <w:t>gūsingas vėjas</w:t>
      </w:r>
    </w:p>
    <w:p w14:paraId="0A45C25C" w14:textId="77777777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13268A">
        <w:rPr>
          <w:rFonts w:ascii="Times New Roman" w:hAnsi="Times New Roman" w:cs="Times New Roman"/>
          <w:sz w:val="24"/>
          <w:szCs w:val="24"/>
        </w:rPr>
        <w:t xml:space="preserve">Stichiniai reiškiniai </w:t>
      </w:r>
      <w:r>
        <w:rPr>
          <w:rFonts w:ascii="Times New Roman" w:hAnsi="Times New Roman" w:cs="Times New Roman"/>
          <w:sz w:val="24"/>
          <w:szCs w:val="24"/>
        </w:rPr>
        <w:t xml:space="preserve">sutrikdė nepertraukiamą elektros energijos tiekimą </w:t>
      </w:r>
      <w:r w:rsidRPr="0013268A">
        <w:rPr>
          <w:rFonts w:ascii="Times New Roman" w:hAnsi="Times New Roman" w:cs="Times New Roman"/>
          <w:sz w:val="24"/>
          <w:szCs w:val="24"/>
        </w:rPr>
        <w:t>ESO elektros tinkl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13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liepos 31–rugpjūčio 3 dienomis. Dėl stipraus gūsingo vėjo įvyko 35–110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transformatorinės darbo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sutrikimas, gedimai 0,4–35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 linijose. Sutrikus elektros energijos tiekimui be elektros liko</w:t>
      </w:r>
      <w:r w:rsidRPr="0013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48 669 Panevėžio, Utenos miestų ir rajonų gyventojų. </w:t>
      </w:r>
    </w:p>
    <w:p w14:paraId="313DF58D" w14:textId="055065D2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stichijos dar labiau įsismarkavo 2017 m. rugpjūčio 12–14 dienomis, kuomet dėl stipraus vėjo, žaibavimo ir perkūnijos įvyko masiniai išsijungimai ir gedimai ESO 35–110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transformatorių pastotėse, 0,4 ir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įtampos elektros linijose ir įrenginiuose. </w:t>
      </w:r>
      <w:r w:rsidR="00847413">
        <w:rPr>
          <w:rFonts w:ascii="Times New Roman" w:hAnsi="Times New Roman" w:cs="Times New Roman"/>
          <w:sz w:val="24"/>
          <w:szCs w:val="24"/>
        </w:rPr>
        <w:t>E</w:t>
      </w:r>
      <w:r w:rsidR="00847413" w:rsidRPr="0038343F">
        <w:rPr>
          <w:rFonts w:ascii="Times New Roman" w:hAnsi="Times New Roman" w:cs="Times New Roman"/>
          <w:sz w:val="24"/>
          <w:szCs w:val="24"/>
        </w:rPr>
        <w:t>lektros tinklo atsijungimai įvyko dėl stichinių reiškinių poveikio ir linijų pažeidimų, kai lūžtantys medžiai ar jų šakos krisdamos nutrauk</w:t>
      </w:r>
      <w:r w:rsidR="00847413">
        <w:rPr>
          <w:rFonts w:ascii="Times New Roman" w:hAnsi="Times New Roman" w:cs="Times New Roman"/>
          <w:sz w:val="24"/>
          <w:szCs w:val="24"/>
        </w:rPr>
        <w:t>ė</w:t>
      </w:r>
      <w:r w:rsidR="00847413" w:rsidRPr="0038343F">
        <w:rPr>
          <w:rFonts w:ascii="Times New Roman" w:hAnsi="Times New Roman" w:cs="Times New Roman"/>
          <w:sz w:val="24"/>
          <w:szCs w:val="24"/>
        </w:rPr>
        <w:t xml:space="preserve"> laidus</w:t>
      </w:r>
      <w:r w:rsidR="00847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Elektros tiekimas nutrūko daugiau kaip 119 tūkst. elektros vartotojų Vilniaus, Panevėžio Kauno, Klaipėdos ir Šiaulių regionuose</w:t>
      </w:r>
      <w:r w:rsidR="000B08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nepatiekta per 202,8 MWh elektros</w:t>
      </w:r>
      <w:r w:rsidR="000B080E">
        <w:rPr>
          <w:rFonts w:ascii="Times New Roman" w:hAnsi="Times New Roman" w:cs="Times New Roman"/>
          <w:sz w:val="24"/>
          <w:szCs w:val="24"/>
        </w:rPr>
        <w:t xml:space="preserve"> energijos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0125">
        <w:rPr>
          <w:rFonts w:ascii="Times New Roman" w:hAnsi="Times New Roman" w:cs="Times New Roman"/>
          <w:sz w:val="24"/>
          <w:szCs w:val="24"/>
        </w:rPr>
        <w:t xml:space="preserve">Atsižvelgiant į požymius, šis įvykis priskiriamas </w:t>
      </w:r>
      <w:r>
        <w:rPr>
          <w:rFonts w:ascii="Times New Roman" w:hAnsi="Times New Roman" w:cs="Times New Roman"/>
          <w:sz w:val="24"/>
          <w:szCs w:val="24"/>
        </w:rPr>
        <w:t>avarijai</w:t>
      </w:r>
      <w:r w:rsidRPr="00BC0125">
        <w:rPr>
          <w:rFonts w:ascii="Times New Roman" w:hAnsi="Times New Roman" w:cs="Times New Roman"/>
          <w:sz w:val="24"/>
          <w:szCs w:val="24"/>
        </w:rPr>
        <w:t xml:space="preserve"> elektros įrenginiuose.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1E98E" w14:textId="35C5AD84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806F2">
        <w:rPr>
          <w:rFonts w:ascii="Times New Roman" w:hAnsi="Times New Roman" w:cs="Times New Roman"/>
          <w:sz w:val="24"/>
          <w:szCs w:val="24"/>
        </w:rPr>
        <w:t xml:space="preserve">iekiant išvengti panašių įvykių ateityje, </w:t>
      </w:r>
      <w:r w:rsidR="00847413">
        <w:rPr>
          <w:rFonts w:ascii="Times New Roman" w:hAnsi="Times New Roman" w:cs="Times New Roman"/>
          <w:sz w:val="24"/>
          <w:szCs w:val="24"/>
        </w:rPr>
        <w:t xml:space="preserve">tyrimą atlikusi komisija rekomendavo </w:t>
      </w:r>
      <w:r w:rsidRPr="007806F2">
        <w:rPr>
          <w:rFonts w:ascii="Times New Roman" w:hAnsi="Times New Roman" w:cs="Times New Roman"/>
          <w:sz w:val="24"/>
          <w:szCs w:val="24"/>
        </w:rPr>
        <w:t xml:space="preserve">tiesiant naujus ir rekonstruojant 0,4–10 </w:t>
      </w:r>
      <w:proofErr w:type="spellStart"/>
      <w:r w:rsidRPr="007806F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06F2">
        <w:rPr>
          <w:rFonts w:ascii="Times New Roman" w:hAnsi="Times New Roman" w:cs="Times New Roman"/>
          <w:sz w:val="24"/>
          <w:szCs w:val="24"/>
        </w:rPr>
        <w:t xml:space="preserve"> elektros tinklus gyvenamosiose ir miškingose vietovėse montuoti požemines kabelių linijas, o nesant šios galimybės, montuojant 10 </w:t>
      </w:r>
      <w:proofErr w:type="spellStart"/>
      <w:r w:rsidRPr="007806F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06F2">
        <w:rPr>
          <w:rFonts w:ascii="Times New Roman" w:hAnsi="Times New Roman" w:cs="Times New Roman"/>
          <w:sz w:val="24"/>
          <w:szCs w:val="24"/>
        </w:rPr>
        <w:t xml:space="preserve"> oro linijas naudoti izoliacinius laidus, 0,4 </w:t>
      </w:r>
      <w:proofErr w:type="spellStart"/>
      <w:r w:rsidRPr="007806F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06F2">
        <w:rPr>
          <w:rFonts w:ascii="Times New Roman" w:hAnsi="Times New Roman" w:cs="Times New Roman"/>
          <w:sz w:val="24"/>
          <w:szCs w:val="24"/>
        </w:rPr>
        <w:t xml:space="preserve"> oro linijas – oro kabelius.</w:t>
      </w:r>
    </w:p>
    <w:p w14:paraId="3169C36E" w14:textId="77777777" w:rsidR="00480F8F" w:rsidRPr="007806F2" w:rsidRDefault="00480F8F" w:rsidP="00F64E7C">
      <w:pPr>
        <w:ind w:righ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Priežastis</w:t>
      </w:r>
      <w:r w:rsidRPr="00065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t</w:t>
      </w:r>
      <w:r w:rsidRPr="00065D72">
        <w:rPr>
          <w:rFonts w:ascii="Times New Roman" w:hAnsi="Times New Roman" w:cs="Times New Roman"/>
          <w:b/>
          <w:sz w:val="24"/>
          <w:szCs w:val="24"/>
        </w:rPr>
        <w:t>rumpas jungimas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7B1A71" w14:textId="77777777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BE7BAB">
        <w:rPr>
          <w:rFonts w:ascii="Times New Roman" w:hAnsi="Times New Roman" w:cs="Times New Roman"/>
          <w:sz w:val="24"/>
          <w:szCs w:val="24"/>
        </w:rPr>
        <w:t xml:space="preserve">Pernai vasario 2 d. dėl trumpo jungimo 10 </w:t>
      </w:r>
      <w:proofErr w:type="spellStart"/>
      <w:r w:rsidRPr="00BE7BA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E7BAB">
        <w:rPr>
          <w:rFonts w:ascii="Times New Roman" w:hAnsi="Times New Roman" w:cs="Times New Roman"/>
          <w:sz w:val="24"/>
          <w:szCs w:val="24"/>
        </w:rPr>
        <w:t xml:space="preserve"> kabelių linijose įvyko sutrikimas ESO 110/10 </w:t>
      </w:r>
      <w:proofErr w:type="spellStart"/>
      <w:r w:rsidRPr="00BE7BA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E7BAB">
        <w:rPr>
          <w:rFonts w:ascii="Times New Roman" w:hAnsi="Times New Roman" w:cs="Times New Roman"/>
          <w:sz w:val="24"/>
          <w:szCs w:val="24"/>
        </w:rPr>
        <w:t xml:space="preserve"> transformatorių pastotėje „Trakai“. Elektros energijos tiekimas nutrūko virš penkių tūkst. energijos vartotojų. Nustatyta, kad šį sutrikimą lėmusi priežastis buvo komutaciniai ir atmosferiniai viršįtampiai, trumpieji jungimai, kelių įrenginių sutrikimų sutapimas.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245D5" w14:textId="77777777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vienas sutrikimas dėl trumpo jungimo srovės poveikio įvyko birželio 5 d.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kabelių linijoje. Dėl šios priežasties sugedo keturios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kabelių linijos, o elektros energijos tiekimas nutrūko 299 energijos vartotojams. </w:t>
      </w:r>
    </w:p>
    <w:p w14:paraId="142DBB9F" w14:textId="69556812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BE7BAB">
        <w:rPr>
          <w:rFonts w:ascii="Times New Roman" w:hAnsi="Times New Roman" w:cs="Times New Roman"/>
          <w:sz w:val="24"/>
          <w:szCs w:val="24"/>
        </w:rPr>
        <w:t>Trumpo jungimo neišveng</w:t>
      </w:r>
      <w:r w:rsidR="007C6A87">
        <w:rPr>
          <w:rFonts w:ascii="Times New Roman" w:hAnsi="Times New Roman" w:cs="Times New Roman"/>
          <w:sz w:val="24"/>
          <w:szCs w:val="24"/>
        </w:rPr>
        <w:t xml:space="preserve">ta </w:t>
      </w:r>
      <w:r w:rsidRPr="00BE7BAB">
        <w:rPr>
          <w:rFonts w:ascii="Times New Roman" w:hAnsi="Times New Roman" w:cs="Times New Roman"/>
          <w:sz w:val="24"/>
          <w:szCs w:val="24"/>
        </w:rPr>
        <w:t>atliekant žemės kasimo darbus</w:t>
      </w:r>
      <w:r w:rsidR="007C6A87" w:rsidRPr="007C6A87">
        <w:rPr>
          <w:rFonts w:ascii="Times New Roman" w:hAnsi="Times New Roman" w:cs="Times New Roman"/>
          <w:sz w:val="24"/>
          <w:szCs w:val="24"/>
        </w:rPr>
        <w:t xml:space="preserve"> </w:t>
      </w:r>
      <w:r w:rsidR="007C6A87">
        <w:rPr>
          <w:rFonts w:ascii="Times New Roman" w:hAnsi="Times New Roman" w:cs="Times New Roman"/>
          <w:sz w:val="24"/>
          <w:szCs w:val="24"/>
        </w:rPr>
        <w:t xml:space="preserve">elektros tinklų apsaugos zonoje. </w:t>
      </w:r>
      <w:r>
        <w:rPr>
          <w:rFonts w:ascii="Times New Roman" w:hAnsi="Times New Roman" w:cs="Times New Roman"/>
          <w:sz w:val="24"/>
          <w:szCs w:val="24"/>
        </w:rPr>
        <w:t>Praėjusiais metais birželio 13</w:t>
      </w:r>
      <w:r w:rsidRPr="00A314BA">
        <w:rPr>
          <w:rFonts w:ascii="Times New Roman" w:hAnsi="Times New Roman" w:cs="Times New Roman"/>
          <w:sz w:val="24"/>
          <w:szCs w:val="24"/>
        </w:rPr>
        <w:t xml:space="preserve"> d. buvo pažeista </w:t>
      </w:r>
      <w:r w:rsidRPr="007806F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806F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806F2">
        <w:rPr>
          <w:rFonts w:ascii="Times New Roman" w:hAnsi="Times New Roman" w:cs="Times New Roman"/>
          <w:sz w:val="24"/>
          <w:szCs w:val="24"/>
        </w:rPr>
        <w:t xml:space="preserve"> </w:t>
      </w:r>
      <w:r w:rsidRPr="00A314BA">
        <w:rPr>
          <w:rFonts w:ascii="Times New Roman" w:hAnsi="Times New Roman" w:cs="Times New Roman"/>
          <w:sz w:val="24"/>
          <w:szCs w:val="24"/>
        </w:rPr>
        <w:t>kabelių linija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įvykęs trifazis trumpas jungimas 35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tinkle </w:t>
      </w:r>
      <w:r w:rsidRPr="00A314BA">
        <w:rPr>
          <w:rFonts w:ascii="Times New Roman" w:hAnsi="Times New Roman" w:cs="Times New Roman"/>
          <w:sz w:val="24"/>
          <w:szCs w:val="24"/>
        </w:rPr>
        <w:t xml:space="preserve">sutrikdė šilumos ir elektros gamybos procesą </w:t>
      </w:r>
      <w:r w:rsidRPr="00DA0DFF">
        <w:rPr>
          <w:rFonts w:ascii="Times New Roman" w:hAnsi="Times New Roman" w:cs="Times New Roman"/>
          <w:sz w:val="24"/>
          <w:szCs w:val="24"/>
        </w:rPr>
        <w:t>antro</w:t>
      </w:r>
      <w:r>
        <w:rPr>
          <w:rFonts w:ascii="Times New Roman" w:hAnsi="Times New Roman" w:cs="Times New Roman"/>
          <w:sz w:val="24"/>
          <w:szCs w:val="24"/>
        </w:rPr>
        <w:t xml:space="preserve">joje </w:t>
      </w:r>
      <w:r w:rsidRPr="00DA0DFF">
        <w:rPr>
          <w:rFonts w:ascii="Times New Roman" w:hAnsi="Times New Roman" w:cs="Times New Roman"/>
          <w:sz w:val="24"/>
          <w:szCs w:val="24"/>
        </w:rPr>
        <w:t>Vilniaus termofikacinė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A0DFF">
        <w:rPr>
          <w:rFonts w:ascii="Times New Roman" w:hAnsi="Times New Roman" w:cs="Times New Roman"/>
          <w:sz w:val="24"/>
          <w:szCs w:val="24"/>
        </w:rPr>
        <w:t xml:space="preserve"> elektrinė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47413">
        <w:rPr>
          <w:rFonts w:ascii="Times New Roman" w:hAnsi="Times New Roman" w:cs="Times New Roman"/>
          <w:sz w:val="24"/>
          <w:szCs w:val="24"/>
        </w:rPr>
        <w:t xml:space="preserve">. </w:t>
      </w:r>
      <w:r w:rsidR="007C6A87">
        <w:rPr>
          <w:rFonts w:ascii="Times New Roman" w:hAnsi="Times New Roman" w:cs="Times New Roman"/>
          <w:sz w:val="24"/>
          <w:szCs w:val="24"/>
        </w:rPr>
        <w:t>Dar viena trumpo jungimo priežastis gaisras. L</w:t>
      </w:r>
      <w:r>
        <w:rPr>
          <w:rFonts w:ascii="Times New Roman" w:hAnsi="Times New Roman" w:cs="Times New Roman"/>
          <w:sz w:val="24"/>
          <w:szCs w:val="24"/>
        </w:rPr>
        <w:t>apkričio 8 d. atliekant</w:t>
      </w:r>
      <w:r w:rsidRPr="00DB7296">
        <w:rPr>
          <w:rFonts w:ascii="Times New Roman" w:hAnsi="Times New Roman" w:cs="Times New Roman"/>
          <w:sz w:val="24"/>
          <w:szCs w:val="24"/>
        </w:rPr>
        <w:t xml:space="preserve"> remonto darbus praeinamame kolektoriuje</w:t>
      </w:r>
      <w:r w:rsidR="007C6A87">
        <w:rPr>
          <w:rFonts w:ascii="Times New Roman" w:hAnsi="Times New Roman" w:cs="Times New Roman"/>
          <w:sz w:val="24"/>
          <w:szCs w:val="24"/>
        </w:rPr>
        <w:t>, esančiame netolimais</w:t>
      </w:r>
      <w:r w:rsidRPr="00DB7296">
        <w:rPr>
          <w:rFonts w:ascii="Times New Roman" w:hAnsi="Times New Roman" w:cs="Times New Roman"/>
          <w:sz w:val="24"/>
          <w:szCs w:val="24"/>
        </w:rPr>
        <w:t xml:space="preserve"> Žemynos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7296">
        <w:rPr>
          <w:rFonts w:ascii="Times New Roman" w:hAnsi="Times New Roman" w:cs="Times New Roman"/>
          <w:sz w:val="24"/>
          <w:szCs w:val="24"/>
        </w:rPr>
        <w:t xml:space="preserve"> 10, Vilniuje, </w:t>
      </w:r>
      <w:r w:rsidR="007C6A87">
        <w:rPr>
          <w:rFonts w:ascii="Times New Roman" w:hAnsi="Times New Roman" w:cs="Times New Roman"/>
          <w:sz w:val="24"/>
          <w:szCs w:val="24"/>
        </w:rPr>
        <w:t>įsiplieskė ugnis</w:t>
      </w:r>
      <w:r w:rsidRPr="00DB7296">
        <w:rPr>
          <w:rFonts w:ascii="Times New Roman" w:hAnsi="Times New Roman" w:cs="Times New Roman"/>
          <w:sz w:val="24"/>
          <w:szCs w:val="24"/>
        </w:rPr>
        <w:t xml:space="preserve">. Liepsna pažeidė </w:t>
      </w:r>
      <w:r>
        <w:rPr>
          <w:rFonts w:ascii="Times New Roman" w:hAnsi="Times New Roman" w:cs="Times New Roman"/>
          <w:sz w:val="24"/>
          <w:szCs w:val="24"/>
        </w:rPr>
        <w:t>aštuonis</w:t>
      </w:r>
      <w:r w:rsidRPr="00DB7296">
        <w:rPr>
          <w:rFonts w:ascii="Times New Roman" w:hAnsi="Times New Roman" w:cs="Times New Roman"/>
          <w:sz w:val="24"/>
          <w:szCs w:val="24"/>
        </w:rPr>
        <w:t xml:space="preserve"> kabeli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DB72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B7296">
        <w:rPr>
          <w:rFonts w:ascii="Times New Roman" w:hAnsi="Times New Roman" w:cs="Times New Roman"/>
          <w:sz w:val="24"/>
          <w:szCs w:val="24"/>
        </w:rPr>
        <w:t>dėl įvykusio trumpo jungimo laikinai sutriko elektros energijos tiekimas Pašilaičiuos</w:t>
      </w:r>
      <w:r w:rsidR="007C6A87">
        <w:rPr>
          <w:rFonts w:ascii="Times New Roman" w:hAnsi="Times New Roman" w:cs="Times New Roman"/>
          <w:sz w:val="24"/>
          <w:szCs w:val="24"/>
        </w:rPr>
        <w:t>e. Tuomet jos</w:t>
      </w:r>
      <w:r>
        <w:rPr>
          <w:rFonts w:ascii="Times New Roman" w:hAnsi="Times New Roman" w:cs="Times New Roman"/>
          <w:sz w:val="24"/>
          <w:szCs w:val="24"/>
        </w:rPr>
        <w:t xml:space="preserve"> neturėjo per </w:t>
      </w:r>
      <w:r w:rsidR="007C6A87">
        <w:rPr>
          <w:rFonts w:ascii="Times New Roman" w:hAnsi="Times New Roman" w:cs="Times New Roman"/>
          <w:sz w:val="24"/>
          <w:szCs w:val="24"/>
        </w:rPr>
        <w:t>devynis</w:t>
      </w:r>
      <w:r>
        <w:rPr>
          <w:rFonts w:ascii="Times New Roman" w:hAnsi="Times New Roman" w:cs="Times New Roman"/>
          <w:sz w:val="24"/>
          <w:szCs w:val="24"/>
        </w:rPr>
        <w:t xml:space="preserve"> tūkst. vartotojų.</w:t>
      </w:r>
    </w:p>
    <w:p w14:paraId="398381ED" w14:textId="77777777" w:rsidR="00480F8F" w:rsidRPr="00F776B5" w:rsidRDefault="00480F8F" w:rsidP="00F64E7C">
      <w:pPr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B5">
        <w:rPr>
          <w:rFonts w:ascii="Times New Roman" w:hAnsi="Times New Roman" w:cs="Times New Roman"/>
          <w:b/>
          <w:sz w:val="24"/>
          <w:szCs w:val="24"/>
        </w:rPr>
        <w:t>Kalti ir paukščiai, ir žmonės</w:t>
      </w:r>
    </w:p>
    <w:p w14:paraId="051C3FA9" w14:textId="1B25F28A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Elektros įrenginių sutrikimus lemia ir paukščių poveikis. Vienas iš pavyzdžių, </w:t>
      </w:r>
      <w:r w:rsidR="007C6A87">
        <w:rPr>
          <w:rFonts w:ascii="Times New Roman" w:hAnsi="Times New Roman" w:cs="Times New Roman"/>
          <w:sz w:val="24"/>
          <w:szCs w:val="24"/>
        </w:rPr>
        <w:t xml:space="preserve">tai – </w:t>
      </w:r>
      <w:r>
        <w:rPr>
          <w:rFonts w:ascii="Times New Roman" w:hAnsi="Times New Roman" w:cs="Times New Roman"/>
          <w:sz w:val="24"/>
          <w:szCs w:val="24"/>
        </w:rPr>
        <w:t xml:space="preserve">rugsėjo 2 d. </w:t>
      </w:r>
      <w:r w:rsidRPr="00DB7296">
        <w:rPr>
          <w:rFonts w:ascii="Times New Roman" w:hAnsi="Times New Roman" w:cs="Times New Roman"/>
          <w:sz w:val="24"/>
          <w:szCs w:val="24"/>
        </w:rPr>
        <w:t>Kauno Algirdo Brazausko hidroelektrinė</w:t>
      </w:r>
      <w:r>
        <w:rPr>
          <w:rFonts w:ascii="Times New Roman" w:hAnsi="Times New Roman" w:cs="Times New Roman"/>
          <w:sz w:val="24"/>
          <w:szCs w:val="24"/>
        </w:rPr>
        <w:t>je sutri</w:t>
      </w:r>
      <w:r w:rsidR="007C6A87">
        <w:rPr>
          <w:rFonts w:ascii="Times New Roman" w:hAnsi="Times New Roman" w:cs="Times New Roman"/>
          <w:sz w:val="24"/>
          <w:szCs w:val="24"/>
        </w:rPr>
        <w:t>kęs</w:t>
      </w:r>
      <w:r>
        <w:rPr>
          <w:rFonts w:ascii="Times New Roman" w:hAnsi="Times New Roman" w:cs="Times New Roman"/>
          <w:sz w:val="24"/>
          <w:szCs w:val="24"/>
        </w:rPr>
        <w:t xml:space="preserve"> dviejų hidroagregatų darbas dėl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šyninio tilto „C“ fazės įžemėjimo ties T-2 transformatoriumi. Įžemėjimo apsaugos suveikė dėl priartėjusių paukščių. </w:t>
      </w:r>
    </w:p>
    <w:p w14:paraId="27C2F2B7" w14:textId="0FA33875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Trys</w:t>
      </w:r>
      <w:r w:rsidRPr="0083300E">
        <w:rPr>
          <w:rFonts w:ascii="Times New Roman" w:hAnsi="Times New Roman" w:cs="Times New Roman"/>
          <w:sz w:val="24"/>
          <w:szCs w:val="24"/>
        </w:rPr>
        <w:t xml:space="preserve"> sutrikimai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300E">
        <w:rPr>
          <w:rFonts w:ascii="Times New Roman" w:hAnsi="Times New Roman" w:cs="Times New Roman"/>
          <w:sz w:val="24"/>
          <w:szCs w:val="24"/>
        </w:rPr>
        <w:t xml:space="preserve"> m. įvyko Lietuvos energijos gamybos kombinuoto ciklo bloko įrenginiuose. Ištyrus aplinkybes nustatyta, kad </w:t>
      </w:r>
      <w:r>
        <w:rPr>
          <w:rFonts w:ascii="Times New Roman" w:hAnsi="Times New Roman" w:cs="Times New Roman"/>
          <w:sz w:val="24"/>
          <w:szCs w:val="24"/>
        </w:rPr>
        <w:t>šiuos</w:t>
      </w:r>
      <w:r w:rsidRPr="0083300E">
        <w:rPr>
          <w:rFonts w:ascii="Times New Roman" w:hAnsi="Times New Roman" w:cs="Times New Roman"/>
          <w:sz w:val="24"/>
          <w:szCs w:val="24"/>
        </w:rPr>
        <w:t xml:space="preserve"> sutrikimus lėmusios priežastys – </w:t>
      </w:r>
      <w:r>
        <w:rPr>
          <w:rFonts w:ascii="Times New Roman" w:hAnsi="Times New Roman" w:cs="Times New Roman"/>
          <w:sz w:val="24"/>
          <w:szCs w:val="24"/>
        </w:rPr>
        <w:t xml:space="preserve">operatyvinių darbuotojų klaida, įrenginių susidėvėjimas, medžiagų savybių pakitimas, statybos ir montavimo defektai. </w:t>
      </w:r>
      <w:r w:rsidR="007C6A87">
        <w:rPr>
          <w:rFonts w:ascii="Times New Roman" w:hAnsi="Times New Roman" w:cs="Times New Roman"/>
          <w:sz w:val="24"/>
          <w:szCs w:val="24"/>
        </w:rPr>
        <w:t>Visi trys</w:t>
      </w:r>
      <w:r w:rsidRPr="008C66D5">
        <w:rPr>
          <w:rFonts w:ascii="Times New Roman" w:hAnsi="Times New Roman" w:cs="Times New Roman"/>
          <w:sz w:val="24"/>
          <w:szCs w:val="24"/>
        </w:rPr>
        <w:t xml:space="preserve"> sutrikimai </w:t>
      </w:r>
      <w:r w:rsidR="007C6A87" w:rsidRPr="007C6A87">
        <w:rPr>
          <w:rFonts w:ascii="Times New Roman" w:hAnsi="Times New Roman" w:cs="Times New Roman"/>
          <w:sz w:val="24"/>
          <w:szCs w:val="24"/>
        </w:rPr>
        <w:t xml:space="preserve">kombinuoto ciklo bloko įrenginiuose </w:t>
      </w:r>
      <w:r w:rsidRPr="008C66D5">
        <w:rPr>
          <w:rFonts w:ascii="Times New Roman" w:hAnsi="Times New Roman" w:cs="Times New Roman"/>
          <w:sz w:val="24"/>
          <w:szCs w:val="24"/>
        </w:rPr>
        <w:t xml:space="preserve">neturėjo įtakos kitų įrenginių darbui ir </w:t>
      </w:r>
      <w:r>
        <w:rPr>
          <w:rFonts w:ascii="Times New Roman" w:hAnsi="Times New Roman" w:cs="Times New Roman"/>
          <w:sz w:val="24"/>
          <w:szCs w:val="24"/>
        </w:rPr>
        <w:t xml:space="preserve">jų </w:t>
      </w:r>
      <w:r w:rsidRPr="008C66D5">
        <w:rPr>
          <w:rFonts w:ascii="Times New Roman" w:hAnsi="Times New Roman" w:cs="Times New Roman"/>
          <w:sz w:val="24"/>
          <w:szCs w:val="24"/>
        </w:rPr>
        <w:t>techninei būkle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7CE6126B" w14:textId="5BD7C940" w:rsidR="00480F8F" w:rsidRDefault="00480F8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Elektros</w:t>
      </w:r>
      <w:r w:rsidRPr="007C7173">
        <w:rPr>
          <w:rFonts w:ascii="Times New Roman" w:hAnsi="Times New Roman" w:cs="Times New Roman"/>
          <w:sz w:val="24"/>
          <w:szCs w:val="24"/>
        </w:rPr>
        <w:t xml:space="preserve"> įrengini</w:t>
      </w:r>
      <w:r>
        <w:rPr>
          <w:rFonts w:ascii="Times New Roman" w:hAnsi="Times New Roman" w:cs="Times New Roman"/>
          <w:sz w:val="24"/>
          <w:szCs w:val="24"/>
        </w:rPr>
        <w:t>ų darbo sutrikimai 2017 buvo dažnesni</w:t>
      </w:r>
      <w:r w:rsidRPr="007C7173">
        <w:rPr>
          <w:rFonts w:ascii="Times New Roman" w:hAnsi="Times New Roman" w:cs="Times New Roman"/>
          <w:sz w:val="24"/>
          <w:szCs w:val="24"/>
        </w:rPr>
        <w:t xml:space="preserve"> nei užpernai: 2016 m. </w:t>
      </w:r>
      <w:r>
        <w:rPr>
          <w:rFonts w:ascii="Times New Roman" w:hAnsi="Times New Roman" w:cs="Times New Roman"/>
          <w:sz w:val="24"/>
          <w:szCs w:val="24"/>
        </w:rPr>
        <w:t xml:space="preserve">įvyko </w:t>
      </w:r>
      <w:r w:rsidRPr="007C7173">
        <w:rPr>
          <w:rFonts w:ascii="Times New Roman" w:hAnsi="Times New Roman" w:cs="Times New Roman"/>
          <w:sz w:val="24"/>
          <w:szCs w:val="24"/>
        </w:rPr>
        <w:t xml:space="preserve">devyni sutrikimai ir viena avarija elektros įrenginiuose, 2015 m. – penki sutrikimai, keturi iš jų </w:t>
      </w:r>
      <w:bookmarkStart w:id="1" w:name="_Hlk505088112"/>
      <w:r w:rsidRPr="007C7173">
        <w:rPr>
          <w:rFonts w:ascii="Times New Roman" w:hAnsi="Times New Roman" w:cs="Times New Roman"/>
          <w:sz w:val="24"/>
          <w:szCs w:val="24"/>
        </w:rPr>
        <w:t>elektros energetikos įrenginiuose</w:t>
      </w:r>
      <w:bookmarkEnd w:id="1"/>
      <w:r w:rsidRPr="007C7173">
        <w:rPr>
          <w:rFonts w:ascii="Times New Roman" w:hAnsi="Times New Roman" w:cs="Times New Roman"/>
          <w:sz w:val="24"/>
          <w:szCs w:val="24"/>
        </w:rPr>
        <w:t>, vienas šilumos energijos gamybos įrenginyje, avarijų – neužfiksuota</w:t>
      </w:r>
      <w:r>
        <w:rPr>
          <w:rFonts w:ascii="Times New Roman" w:hAnsi="Times New Roman" w:cs="Times New Roman"/>
          <w:sz w:val="24"/>
          <w:szCs w:val="24"/>
        </w:rPr>
        <w:t>, 2014 m. – 18 sutrikimų, iš jų</w:t>
      </w:r>
      <w:r w:rsidRPr="007C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461526">
        <w:rPr>
          <w:rFonts w:ascii="Times New Roman" w:hAnsi="Times New Roman" w:cs="Times New Roman"/>
          <w:sz w:val="24"/>
          <w:szCs w:val="24"/>
        </w:rPr>
        <w:t>elektros įrenginiuose</w:t>
      </w:r>
      <w:r w:rsidR="007C6A87">
        <w:rPr>
          <w:rFonts w:ascii="Times New Roman" w:hAnsi="Times New Roman" w:cs="Times New Roman"/>
          <w:sz w:val="24"/>
          <w:szCs w:val="24"/>
        </w:rPr>
        <w:t xml:space="preserve"> (žiūrėkite duomenis grafike).</w:t>
      </w:r>
    </w:p>
    <w:p w14:paraId="0D734ED8" w14:textId="5485D23D" w:rsidR="00EC04EF" w:rsidRDefault="00EC04EF" w:rsidP="00F64E7C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Grafikas. 2014–2016 m. VEI ištirtų avarijų ir sutrikimų skaičių palyginimas pagal energetikos sektorius</w:t>
      </w:r>
    </w:p>
    <w:p w14:paraId="07072518" w14:textId="354BBF73" w:rsidR="006B5027" w:rsidRDefault="00EC04EF" w:rsidP="00480F8F">
      <w:r>
        <w:rPr>
          <w:noProof/>
          <w:lang w:val="en-US"/>
        </w:rPr>
        <w:drawing>
          <wp:inline distT="0" distB="0" distL="0" distR="0" wp14:anchorId="04F158A8" wp14:editId="086171D2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6D2BDA-D925-40F8-90CD-EE78B24247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928F0A" w14:textId="3D74EC3D" w:rsidR="007C6A87" w:rsidRPr="007C6A87" w:rsidRDefault="007C6A87" w:rsidP="007C6A87">
      <w:p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7C6A87">
        <w:rPr>
          <w:rFonts w:ascii="Times New Roman" w:hAnsi="Times New Roman" w:cs="Times New Roman"/>
          <w:sz w:val="24"/>
          <w:szCs w:val="24"/>
        </w:rPr>
        <w:t>Pernai ištirtų sutrikimų ir avarijų priežastys sutapo su 2016 ir 2015 m. tirtų sutrikimų elektros energetikos įrenginiuose priežastimis, iš jų dažniausios – stichinių reiškinių poveikis, oro linijų pažeidimas dėl užvirtusių medžių.</w:t>
      </w:r>
    </w:p>
    <w:p w14:paraId="7CF08227" w14:textId="14B87415" w:rsidR="00BB5280" w:rsidRPr="00C80DAD" w:rsidRDefault="00BB5280" w:rsidP="007C6A87">
      <w:pPr>
        <w:jc w:val="both"/>
        <w:rPr>
          <w:rFonts w:ascii="Times New Roman" w:hAnsi="Times New Roman" w:cs="Times New Roman"/>
          <w:sz w:val="24"/>
          <w:szCs w:val="24"/>
        </w:rPr>
      </w:pPr>
      <w:r w:rsidRPr="00C80DAD">
        <w:rPr>
          <w:rFonts w:ascii="Times New Roman" w:hAnsi="Times New Roman" w:cs="Times New Roman"/>
          <w:sz w:val="24"/>
          <w:szCs w:val="24"/>
        </w:rPr>
        <w:t xml:space="preserve">2017 m. įvykusių avarijų ir sutrikimų priežastys pagal Energetikos įrenginių avarijų ir sutrikimų tyrimo ir apskaitos nuostatus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5955"/>
        <w:gridCol w:w="2140"/>
      </w:tblGrid>
      <w:tr w:rsidR="00BB5280" w14:paraId="1E30F862" w14:textId="77777777" w:rsidTr="00C80DAD">
        <w:tc>
          <w:tcPr>
            <w:tcW w:w="1150" w:type="dxa"/>
          </w:tcPr>
          <w:p w14:paraId="3517B234" w14:textId="11F5A88F" w:rsidR="00BB5280" w:rsidRDefault="00C80DAD" w:rsidP="00480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Nuostatų punktas</w:t>
            </w:r>
          </w:p>
        </w:tc>
        <w:tc>
          <w:tcPr>
            <w:tcW w:w="5955" w:type="dxa"/>
          </w:tcPr>
          <w:p w14:paraId="691C413E" w14:textId="28FFAC87" w:rsidR="00BB5280" w:rsidRDefault="00BB5280" w:rsidP="00480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Priežastys, dėl kurių kilo sutrikimai ar avarijos </w:t>
            </w:r>
          </w:p>
        </w:tc>
        <w:tc>
          <w:tcPr>
            <w:tcW w:w="2140" w:type="dxa"/>
          </w:tcPr>
          <w:p w14:paraId="7BFFC4E1" w14:textId="63F3C9AF" w:rsidR="00BB5280" w:rsidRDefault="00C80DAD" w:rsidP="00480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Atvej</w:t>
            </w:r>
            <w:r w:rsidR="00527310">
              <w:rPr>
                <w:rFonts w:ascii="Times New Roman" w:hAnsi="Times New Roman" w:cs="Times New Roman"/>
                <w:b/>
                <w:sz w:val="24"/>
                <w:szCs w:val="24"/>
              </w:rPr>
              <w:t>ų skaičius</w:t>
            </w:r>
          </w:p>
        </w:tc>
      </w:tr>
      <w:tr w:rsidR="00527310" w14:paraId="71EC2CB9" w14:textId="77777777" w:rsidTr="00C80DAD">
        <w:tc>
          <w:tcPr>
            <w:tcW w:w="1150" w:type="dxa"/>
          </w:tcPr>
          <w:p w14:paraId="0544CD49" w14:textId="756980A0" w:rsidR="00527310" w:rsidRDefault="00527310" w:rsidP="0052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22.6 p.</w:t>
            </w:r>
          </w:p>
        </w:tc>
        <w:tc>
          <w:tcPr>
            <w:tcW w:w="5955" w:type="dxa"/>
          </w:tcPr>
          <w:p w14:paraId="3B84222B" w14:textId="6B787D19" w:rsidR="00527310" w:rsidRDefault="00527310" w:rsidP="0052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įrenginių susidėvėjimas, medžiagų savybių pakitimas (struktūriniai pakitimai, valkšnumas, nuovargis, senėjimas ir pan.);</w:t>
            </w:r>
          </w:p>
        </w:tc>
        <w:tc>
          <w:tcPr>
            <w:tcW w:w="2140" w:type="dxa"/>
          </w:tcPr>
          <w:p w14:paraId="571F96E1" w14:textId="08641568" w:rsidR="00527310" w:rsidRDefault="00527310" w:rsidP="0052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310" w14:paraId="00FE1F85" w14:textId="77777777" w:rsidTr="00C80DAD">
        <w:tc>
          <w:tcPr>
            <w:tcW w:w="1150" w:type="dxa"/>
          </w:tcPr>
          <w:p w14:paraId="43366AB5" w14:textId="1F8E5D69" w:rsidR="00527310" w:rsidRPr="00C80DAD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22.12 p.</w:t>
            </w:r>
          </w:p>
        </w:tc>
        <w:tc>
          <w:tcPr>
            <w:tcW w:w="5955" w:type="dxa"/>
          </w:tcPr>
          <w:p w14:paraId="19A87A06" w14:textId="33A23BB2" w:rsidR="00527310" w:rsidRPr="00C80DAD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stichinių reiškinių poveikis</w:t>
            </w:r>
          </w:p>
        </w:tc>
        <w:tc>
          <w:tcPr>
            <w:tcW w:w="2140" w:type="dxa"/>
          </w:tcPr>
          <w:p w14:paraId="6F5DEA9B" w14:textId="71D8D821" w:rsidR="00527310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0DAD" w14:paraId="61860D1C" w14:textId="77777777" w:rsidTr="00C80DAD">
        <w:tc>
          <w:tcPr>
            <w:tcW w:w="1150" w:type="dxa"/>
          </w:tcPr>
          <w:p w14:paraId="0E23F383" w14:textId="6633A436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22.9 p.</w:t>
            </w:r>
          </w:p>
        </w:tc>
        <w:tc>
          <w:tcPr>
            <w:tcW w:w="5955" w:type="dxa"/>
          </w:tcPr>
          <w:p w14:paraId="14419C25" w14:textId="392DA489" w:rsidR="00C80DAD" w:rsidRPr="00C80DAD" w:rsidRDefault="00C80DAD" w:rsidP="00C8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teisės aktuose (normatyviniuose dokumentuose) nenumatytų procesų atsiradimas, viršnorminiai komutaciniai ir atmosferiniai viršįtampiai, sudėtingi trumpieji jungimai, vienkartinis keleto avarinių procesų ir įrenginių sutrikimų sutapimas</w:t>
            </w:r>
          </w:p>
        </w:tc>
        <w:tc>
          <w:tcPr>
            <w:tcW w:w="2140" w:type="dxa"/>
          </w:tcPr>
          <w:p w14:paraId="340FE9B8" w14:textId="3D1B27B2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310" w14:paraId="14C4EFDB" w14:textId="77777777" w:rsidTr="00C80DAD">
        <w:tc>
          <w:tcPr>
            <w:tcW w:w="1150" w:type="dxa"/>
          </w:tcPr>
          <w:p w14:paraId="78A4D41F" w14:textId="008120F4" w:rsidR="00527310" w:rsidRPr="00C80DAD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22.1 p.</w:t>
            </w:r>
          </w:p>
        </w:tc>
        <w:tc>
          <w:tcPr>
            <w:tcW w:w="5955" w:type="dxa"/>
          </w:tcPr>
          <w:p w14:paraId="666A9262" w14:textId="74D9DB6C" w:rsidR="00527310" w:rsidRPr="00C80DAD" w:rsidRDefault="00527310" w:rsidP="0052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operatyvinių darbuotojų klaida</w:t>
            </w:r>
          </w:p>
        </w:tc>
        <w:tc>
          <w:tcPr>
            <w:tcW w:w="2140" w:type="dxa"/>
          </w:tcPr>
          <w:p w14:paraId="217EB3D0" w14:textId="64C3B392" w:rsidR="00527310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DAD" w14:paraId="43FBF623" w14:textId="77777777" w:rsidTr="00C80DAD">
        <w:tc>
          <w:tcPr>
            <w:tcW w:w="1150" w:type="dxa"/>
          </w:tcPr>
          <w:p w14:paraId="149E8DBE" w14:textId="6DE17FE7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22.13. p. </w:t>
            </w:r>
          </w:p>
        </w:tc>
        <w:tc>
          <w:tcPr>
            <w:tcW w:w="5955" w:type="dxa"/>
          </w:tcPr>
          <w:p w14:paraId="21B08113" w14:textId="004B23F3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linijų pažeidimas dėl medžių virtimo</w:t>
            </w:r>
          </w:p>
        </w:tc>
        <w:tc>
          <w:tcPr>
            <w:tcW w:w="2140" w:type="dxa"/>
          </w:tcPr>
          <w:p w14:paraId="0B548195" w14:textId="10DD8896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DAD" w14:paraId="14DD0EFE" w14:textId="77777777" w:rsidTr="00C80DAD">
        <w:tc>
          <w:tcPr>
            <w:tcW w:w="1150" w:type="dxa"/>
          </w:tcPr>
          <w:p w14:paraId="2C712139" w14:textId="14078C28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22.14 p.</w:t>
            </w:r>
          </w:p>
        </w:tc>
        <w:tc>
          <w:tcPr>
            <w:tcW w:w="5955" w:type="dxa"/>
          </w:tcPr>
          <w:p w14:paraId="0B144D8B" w14:textId="487B2C71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pašalinių asmenų ar organizacijų poveikis</w:t>
            </w:r>
          </w:p>
        </w:tc>
        <w:tc>
          <w:tcPr>
            <w:tcW w:w="2140" w:type="dxa"/>
          </w:tcPr>
          <w:p w14:paraId="24EF8C10" w14:textId="31EB915D" w:rsidR="00C80DAD" w:rsidRPr="00C80DAD" w:rsidRDefault="00527310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310" w14:paraId="34520600" w14:textId="77777777" w:rsidTr="00C80DAD">
        <w:tc>
          <w:tcPr>
            <w:tcW w:w="1150" w:type="dxa"/>
          </w:tcPr>
          <w:p w14:paraId="44254B44" w14:textId="278A1C3D" w:rsidR="00527310" w:rsidRPr="00C80DAD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22.7. p.</w:t>
            </w:r>
          </w:p>
        </w:tc>
        <w:tc>
          <w:tcPr>
            <w:tcW w:w="5955" w:type="dxa"/>
          </w:tcPr>
          <w:p w14:paraId="65C5365C" w14:textId="786A14F1" w:rsidR="00527310" w:rsidRPr="00C80DAD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nepakankama teisės aktų (normatyvinių</w:t>
            </w:r>
            <w:r>
              <w:t xml:space="preserve"> </w:t>
            </w:r>
            <w:r w:rsidRPr="00527310">
              <w:rPr>
                <w:rFonts w:ascii="Times New Roman" w:hAnsi="Times New Roman" w:cs="Times New Roman"/>
                <w:sz w:val="24"/>
                <w:szCs w:val="24"/>
              </w:rPr>
              <w:t>dokumentų) kokybė</w:t>
            </w:r>
          </w:p>
        </w:tc>
        <w:tc>
          <w:tcPr>
            <w:tcW w:w="2140" w:type="dxa"/>
          </w:tcPr>
          <w:p w14:paraId="59C34C46" w14:textId="18B25804" w:rsidR="00527310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DAD" w14:paraId="3CAA9E3A" w14:textId="77777777" w:rsidTr="00C80DAD">
        <w:tc>
          <w:tcPr>
            <w:tcW w:w="1150" w:type="dxa"/>
          </w:tcPr>
          <w:p w14:paraId="006F68D5" w14:textId="28D7EDF0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22.8 p.</w:t>
            </w:r>
          </w:p>
        </w:tc>
        <w:tc>
          <w:tcPr>
            <w:tcW w:w="5955" w:type="dxa"/>
          </w:tcPr>
          <w:p w14:paraId="4D1568F4" w14:textId="6763AF18" w:rsidR="00C80DAD" w:rsidRPr="00C80DAD" w:rsidRDefault="00C80DAD" w:rsidP="00C8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gamybos instrukcijų ir kitų teisės aktų (normatyvinių dokumentų) reikalavimų nevykdymas eksploatuojant įrenginius</w:t>
            </w:r>
          </w:p>
        </w:tc>
        <w:tc>
          <w:tcPr>
            <w:tcW w:w="2140" w:type="dxa"/>
          </w:tcPr>
          <w:p w14:paraId="49682D9C" w14:textId="7DD68AE6" w:rsidR="00C80DAD" w:rsidRPr="00C80DAD" w:rsidRDefault="00527310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310" w14:paraId="26269EA9" w14:textId="77777777" w:rsidTr="00C80DAD">
        <w:tc>
          <w:tcPr>
            <w:tcW w:w="1150" w:type="dxa"/>
          </w:tcPr>
          <w:p w14:paraId="213F3F06" w14:textId="703C117D" w:rsidR="00527310" w:rsidRPr="00C80DAD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10">
              <w:rPr>
                <w:rFonts w:ascii="Times New Roman" w:hAnsi="Times New Roman" w:cs="Times New Roman"/>
                <w:sz w:val="24"/>
                <w:szCs w:val="24"/>
              </w:rPr>
              <w:t>22.11 p.</w:t>
            </w:r>
          </w:p>
        </w:tc>
        <w:tc>
          <w:tcPr>
            <w:tcW w:w="5955" w:type="dxa"/>
          </w:tcPr>
          <w:p w14:paraId="126180DB" w14:textId="4B77D9C7" w:rsidR="00527310" w:rsidRPr="00C80DAD" w:rsidRDefault="00527310" w:rsidP="0052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10">
              <w:rPr>
                <w:rFonts w:ascii="Times New Roman" w:hAnsi="Times New Roman" w:cs="Times New Roman"/>
                <w:sz w:val="24"/>
                <w:szCs w:val="24"/>
              </w:rPr>
              <w:t>įrenginių statybos, montavimo defektai</w:t>
            </w:r>
          </w:p>
        </w:tc>
        <w:tc>
          <w:tcPr>
            <w:tcW w:w="2140" w:type="dxa"/>
          </w:tcPr>
          <w:p w14:paraId="41990376" w14:textId="4FEA7A63" w:rsidR="00527310" w:rsidRDefault="00527310" w:rsidP="005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DAD" w14:paraId="2EB7BE07" w14:textId="77777777" w:rsidTr="00C80DAD">
        <w:tc>
          <w:tcPr>
            <w:tcW w:w="1150" w:type="dxa"/>
          </w:tcPr>
          <w:p w14:paraId="064E331D" w14:textId="2F2B4CBA" w:rsidR="00C80DAD" w:rsidRPr="00C80DAD" w:rsidRDefault="00C80DAD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 p.</w:t>
            </w:r>
          </w:p>
        </w:tc>
        <w:tc>
          <w:tcPr>
            <w:tcW w:w="5955" w:type="dxa"/>
          </w:tcPr>
          <w:p w14:paraId="010B93D7" w14:textId="68686172" w:rsidR="00C80DAD" w:rsidRPr="00C80DAD" w:rsidRDefault="00C80DAD" w:rsidP="00C8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D">
              <w:rPr>
                <w:rFonts w:ascii="Times New Roman" w:hAnsi="Times New Roman" w:cs="Times New Roman"/>
                <w:sz w:val="24"/>
                <w:szCs w:val="24"/>
              </w:rPr>
              <w:t>įrenginių išjungimas ar pažeidimas dėl paukščių arba gyvūnų poveikio</w:t>
            </w:r>
          </w:p>
        </w:tc>
        <w:tc>
          <w:tcPr>
            <w:tcW w:w="2140" w:type="dxa"/>
          </w:tcPr>
          <w:p w14:paraId="34334A57" w14:textId="320BDE2F" w:rsidR="00C80DAD" w:rsidRPr="00C80DAD" w:rsidRDefault="00527310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310" w14:paraId="5259AD7D" w14:textId="77777777" w:rsidTr="00C80DAD">
        <w:tc>
          <w:tcPr>
            <w:tcW w:w="1150" w:type="dxa"/>
          </w:tcPr>
          <w:p w14:paraId="0C9E4653" w14:textId="219E2BED" w:rsidR="00527310" w:rsidRPr="00527310" w:rsidRDefault="00527310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10">
              <w:rPr>
                <w:rFonts w:ascii="Times New Roman" w:hAnsi="Times New Roman" w:cs="Times New Roman"/>
                <w:sz w:val="24"/>
                <w:szCs w:val="24"/>
              </w:rPr>
              <w:t>22.16 p.</w:t>
            </w:r>
          </w:p>
        </w:tc>
        <w:tc>
          <w:tcPr>
            <w:tcW w:w="5955" w:type="dxa"/>
          </w:tcPr>
          <w:p w14:paraId="2EFC959A" w14:textId="2909BA26" w:rsidR="00527310" w:rsidRPr="00527310" w:rsidRDefault="00527310" w:rsidP="0052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10">
              <w:rPr>
                <w:rFonts w:ascii="Times New Roman" w:hAnsi="Times New Roman" w:cs="Times New Roman"/>
                <w:sz w:val="24"/>
                <w:szCs w:val="24"/>
              </w:rPr>
              <w:t>gaisras, sprogimas</w:t>
            </w:r>
          </w:p>
        </w:tc>
        <w:tc>
          <w:tcPr>
            <w:tcW w:w="2140" w:type="dxa"/>
          </w:tcPr>
          <w:p w14:paraId="2B03F84F" w14:textId="1D0C7EF0" w:rsidR="00527310" w:rsidRPr="00C80DAD" w:rsidRDefault="00527310" w:rsidP="0048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E333FD9" w14:textId="1685E0B2" w:rsidR="00BB5280" w:rsidRDefault="00BB5280" w:rsidP="00480F8F">
      <w:pPr>
        <w:rPr>
          <w:rFonts w:ascii="Times New Roman" w:hAnsi="Times New Roman" w:cs="Times New Roman"/>
          <w:b/>
          <w:sz w:val="24"/>
          <w:szCs w:val="24"/>
        </w:rPr>
      </w:pPr>
    </w:p>
    <w:p w14:paraId="7F53C7CC" w14:textId="1E6F106C" w:rsidR="00C80DAD" w:rsidRPr="00F64E7C" w:rsidRDefault="00BC4448" w:rsidP="00480F8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27310" w:rsidRPr="008E04F8">
          <w:rPr>
            <w:rStyle w:val="Hyperlink"/>
            <w:rFonts w:ascii="Times New Roman" w:hAnsi="Times New Roman" w:cs="Times New Roman"/>
            <w:sz w:val="24"/>
            <w:szCs w:val="24"/>
          </w:rPr>
          <w:t>2017 m. VEI ištirtų energetikos įrenginių sutrikimų ir avarijų ataskaita</w:t>
        </w:r>
      </w:hyperlink>
    </w:p>
    <w:sectPr w:rsidR="00C80DAD" w:rsidRPr="00F64E7C" w:rsidSect="00F64E7C">
      <w:headerReference w:type="default" r:id="rId9"/>
      <w:pgSz w:w="11906" w:h="16838"/>
      <w:pgMar w:top="1170" w:right="1016" w:bottom="117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DDCC" w14:textId="77777777" w:rsidR="00BC4448" w:rsidRDefault="00BC4448" w:rsidP="001329DB">
      <w:pPr>
        <w:spacing w:after="0" w:line="240" w:lineRule="auto"/>
      </w:pPr>
      <w:r>
        <w:separator/>
      </w:r>
    </w:p>
  </w:endnote>
  <w:endnote w:type="continuationSeparator" w:id="0">
    <w:p w14:paraId="40DD3662" w14:textId="77777777" w:rsidR="00BC4448" w:rsidRDefault="00BC4448" w:rsidP="0013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A15AF" w14:textId="77777777" w:rsidR="00BC4448" w:rsidRDefault="00BC4448" w:rsidP="001329DB">
      <w:pPr>
        <w:spacing w:after="0" w:line="240" w:lineRule="auto"/>
      </w:pPr>
      <w:r>
        <w:separator/>
      </w:r>
    </w:p>
  </w:footnote>
  <w:footnote w:type="continuationSeparator" w:id="0">
    <w:p w14:paraId="3C9264DB" w14:textId="77777777" w:rsidR="00BC4448" w:rsidRDefault="00BC4448" w:rsidP="0013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342229"/>
      <w:docPartObj>
        <w:docPartGallery w:val="Page Numbers (Top of Page)"/>
        <w:docPartUnique/>
      </w:docPartObj>
    </w:sdtPr>
    <w:sdtEndPr/>
    <w:sdtContent>
      <w:p w14:paraId="42A91B69" w14:textId="77E3D5A8" w:rsidR="001329DB" w:rsidRDefault="001329D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4B">
          <w:rPr>
            <w:noProof/>
          </w:rPr>
          <w:t>3</w:t>
        </w:r>
        <w:r>
          <w:fldChar w:fldCharType="end"/>
        </w:r>
      </w:p>
    </w:sdtContent>
  </w:sdt>
  <w:p w14:paraId="77DD40D7" w14:textId="77777777" w:rsidR="001329DB" w:rsidRDefault="00132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9"/>
    <w:rsid w:val="00044436"/>
    <w:rsid w:val="00062E54"/>
    <w:rsid w:val="00065D72"/>
    <w:rsid w:val="000830FD"/>
    <w:rsid w:val="000B080E"/>
    <w:rsid w:val="000F6D29"/>
    <w:rsid w:val="0013268A"/>
    <w:rsid w:val="001329DB"/>
    <w:rsid w:val="00180303"/>
    <w:rsid w:val="001C7F80"/>
    <w:rsid w:val="00204CD4"/>
    <w:rsid w:val="002321B7"/>
    <w:rsid w:val="0038343F"/>
    <w:rsid w:val="003F4212"/>
    <w:rsid w:val="00461526"/>
    <w:rsid w:val="0046734B"/>
    <w:rsid w:val="0047504B"/>
    <w:rsid w:val="00480F8F"/>
    <w:rsid w:val="004F1E89"/>
    <w:rsid w:val="00527310"/>
    <w:rsid w:val="005430DD"/>
    <w:rsid w:val="005D69C3"/>
    <w:rsid w:val="00602F75"/>
    <w:rsid w:val="006B5027"/>
    <w:rsid w:val="00722345"/>
    <w:rsid w:val="007806F2"/>
    <w:rsid w:val="00791A0B"/>
    <w:rsid w:val="007C6A87"/>
    <w:rsid w:val="007C7173"/>
    <w:rsid w:val="0083300E"/>
    <w:rsid w:val="00847413"/>
    <w:rsid w:val="00887A8B"/>
    <w:rsid w:val="008C66D5"/>
    <w:rsid w:val="008D205B"/>
    <w:rsid w:val="008E04F8"/>
    <w:rsid w:val="009669B6"/>
    <w:rsid w:val="00986A3E"/>
    <w:rsid w:val="009C3787"/>
    <w:rsid w:val="00A314BA"/>
    <w:rsid w:val="00A47BE2"/>
    <w:rsid w:val="00A731FF"/>
    <w:rsid w:val="00A960A5"/>
    <w:rsid w:val="00AB4BD9"/>
    <w:rsid w:val="00AD0ECD"/>
    <w:rsid w:val="00AE3EFC"/>
    <w:rsid w:val="00B60CB2"/>
    <w:rsid w:val="00B97E0C"/>
    <w:rsid w:val="00BA49A0"/>
    <w:rsid w:val="00BB5280"/>
    <w:rsid w:val="00BC0125"/>
    <w:rsid w:val="00BC4448"/>
    <w:rsid w:val="00BE2C6B"/>
    <w:rsid w:val="00C41BFF"/>
    <w:rsid w:val="00C80DAD"/>
    <w:rsid w:val="00CB70AC"/>
    <w:rsid w:val="00CC13B7"/>
    <w:rsid w:val="00CC7907"/>
    <w:rsid w:val="00CF696B"/>
    <w:rsid w:val="00DA0DFF"/>
    <w:rsid w:val="00DB7296"/>
    <w:rsid w:val="00DC0B00"/>
    <w:rsid w:val="00E178A2"/>
    <w:rsid w:val="00E41527"/>
    <w:rsid w:val="00E9035A"/>
    <w:rsid w:val="00EC04EF"/>
    <w:rsid w:val="00ED5D3C"/>
    <w:rsid w:val="00EE22C8"/>
    <w:rsid w:val="00EF7752"/>
    <w:rsid w:val="00F04F95"/>
    <w:rsid w:val="00F52015"/>
    <w:rsid w:val="00F64E7C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3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DB"/>
  </w:style>
  <w:style w:type="paragraph" w:styleId="Footer">
    <w:name w:val="footer"/>
    <w:basedOn w:val="Normal"/>
    <w:link w:val="FooterChar"/>
    <w:uiPriority w:val="99"/>
    <w:unhideWhenUsed/>
    <w:rsid w:val="0013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DB"/>
  </w:style>
  <w:style w:type="character" w:styleId="Hyperlink">
    <w:name w:val="Hyperlink"/>
    <w:basedOn w:val="DefaultParagraphFont"/>
    <w:uiPriority w:val="99"/>
    <w:unhideWhenUsed/>
    <w:rsid w:val="008E04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DB"/>
  </w:style>
  <w:style w:type="paragraph" w:styleId="Footer">
    <w:name w:val="footer"/>
    <w:basedOn w:val="Normal"/>
    <w:link w:val="FooterChar"/>
    <w:uiPriority w:val="99"/>
    <w:unhideWhenUsed/>
    <w:rsid w:val="0013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DB"/>
  </w:style>
  <w:style w:type="character" w:styleId="Hyperlink">
    <w:name w:val="Hyperlink"/>
    <w:basedOn w:val="DefaultParagraphFont"/>
    <w:uiPriority w:val="99"/>
    <w:unhideWhenUsed/>
    <w:rsid w:val="008E04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i.lrv.lt/uploads/vei/documents/files/Veiklos-sritys/Avarij%C5%B3-sutrikim%C5%B3-nelaiming%C5%B3-atsitikim%C5%B3-tyrimai/2017%20avarijos_sutrikimai_01-26(1)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Sheet1!$A$55:$B$55</c:f>
              <c:strCache>
                <c:ptCount val="2"/>
                <c:pt idx="0">
                  <c:v>elektros sektorius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7D-439E-A157-6D65AED0D9FB}"/>
                </c:ext>
              </c:extLst>
            </c:dLbl>
            <c:dLbl>
              <c:idx val="1"/>
              <c:layout>
                <c:manualLayout>
                  <c:x val="5.5555555555555558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7D-439E-A157-6D65AED0D9FB}"/>
                </c:ext>
              </c:extLst>
            </c:dLbl>
            <c:dLbl>
              <c:idx val="2"/>
              <c:layout>
                <c:manualLayout>
                  <c:x val="8.3333333333333332E-3"/>
                  <c:y val="-4.6296296296296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7D-439E-A157-6D65AED0D9FB}"/>
                </c:ext>
              </c:extLst>
            </c:dLbl>
            <c:dLbl>
              <c:idx val="3"/>
              <c:layout>
                <c:manualLayout>
                  <c:x val="1.11111111111110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7D-439E-A157-6D65AED0D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Sheet1!$C$54:$F$54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 </c:v>
                </c:pt>
              </c:strCache>
            </c:strRef>
          </c:cat>
          <c:val>
            <c:numRef>
              <c:f>Sheet1!$C$55:$F$55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7D-439E-A157-6D65AED0D9FB}"/>
            </c:ext>
          </c:extLst>
        </c:ser>
        <c:ser>
          <c:idx val="1"/>
          <c:order val="1"/>
          <c:tx>
            <c:strRef>
              <c:f>Sheet1!$A$56:$B$56</c:f>
              <c:strCache>
                <c:ptCount val="2"/>
                <c:pt idx="0">
                  <c:v>šilumos sektorius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7D-439E-A157-6D65AED0D9FB}"/>
                </c:ext>
              </c:extLst>
            </c:dLbl>
            <c:dLbl>
              <c:idx val="1"/>
              <c:layout>
                <c:manualLayout>
                  <c:x val="5.55555555555550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7D-439E-A157-6D65AED0D9FB}"/>
                </c:ext>
              </c:extLst>
            </c:dLbl>
            <c:dLbl>
              <c:idx val="2"/>
              <c:layout>
                <c:manualLayout>
                  <c:x val="8.3333333333333332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7D-439E-A157-6D65AED0D9FB}"/>
                </c:ext>
              </c:extLst>
            </c:dLbl>
            <c:dLbl>
              <c:idx val="3"/>
              <c:layout>
                <c:manualLayout>
                  <c:x val="5.5555555555554534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7D-439E-A157-6D65AED0D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Sheet1!$C$54:$F$54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 </c:v>
                </c:pt>
              </c:strCache>
            </c:strRef>
          </c:cat>
          <c:val>
            <c:numRef>
              <c:f>Sheet1!$C$56:$F$56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7D-439E-A157-6D65AED0D9FB}"/>
            </c:ext>
          </c:extLst>
        </c:ser>
        <c:ser>
          <c:idx val="2"/>
          <c:order val="2"/>
          <c:tx>
            <c:strRef>
              <c:f>Sheet1!$A$57:$B$57</c:f>
              <c:strCache>
                <c:ptCount val="2"/>
                <c:pt idx="0">
                  <c:v>dujų sektorius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072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E7D-439E-A157-6D65AED0D9FB}"/>
                </c:ext>
              </c:extLst>
            </c:dLbl>
            <c:dLbl>
              <c:idx val="1"/>
              <c:layout>
                <c:manualLayout>
                  <c:x val="5.55555555555550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7D-439E-A157-6D65AED0D9FB}"/>
                </c:ext>
              </c:extLst>
            </c:dLbl>
            <c:dLbl>
              <c:idx val="2"/>
              <c:layout>
                <c:manualLayout>
                  <c:x val="5.5555555555554534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E7D-439E-A157-6D65AED0D9FB}"/>
                </c:ext>
              </c:extLst>
            </c:dLbl>
            <c:dLbl>
              <c:idx val="3"/>
              <c:layout>
                <c:manualLayout>
                  <c:x val="2.7777777777778798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E7D-439E-A157-6D65AED0D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Sheet1!$C$54:$F$54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 </c:v>
                </c:pt>
              </c:strCache>
            </c:strRef>
          </c:cat>
          <c:val>
            <c:numRef>
              <c:f>Sheet1!$C$57:$F$57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E7D-439E-A157-6D65AED0D9FB}"/>
            </c:ext>
          </c:extLst>
        </c:ser>
        <c:ser>
          <c:idx val="3"/>
          <c:order val="3"/>
          <c:tx>
            <c:strRef>
              <c:f>Sheet1!$A$58:$B$58</c:f>
              <c:strCache>
                <c:ptCount val="2"/>
                <c:pt idx="0">
                  <c:v>naftos sektorius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E7D-439E-A157-6D65AED0D9FB}"/>
                </c:ext>
              </c:extLst>
            </c:dLbl>
            <c:dLbl>
              <c:idx val="1"/>
              <c:layout>
                <c:manualLayout>
                  <c:x val="1.1111111111111112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E7D-439E-A157-6D65AED0D9FB}"/>
                </c:ext>
              </c:extLst>
            </c:dLbl>
            <c:dLbl>
              <c:idx val="2"/>
              <c:layout>
                <c:manualLayout>
                  <c:x val="8.3333333333333332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E7D-439E-A157-6D65AED0D9FB}"/>
                </c:ext>
              </c:extLst>
            </c:dLbl>
            <c:dLbl>
              <c:idx val="3"/>
              <c:layout>
                <c:manualLayout>
                  <c:x val="5.5555555555554534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E7D-439E-A157-6D65AED0D9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Sheet1!$C$54:$F$54</c:f>
              <c:strCache>
                <c:ptCount val="4"/>
                <c:pt idx="0">
                  <c:v>2014 m.</c:v>
                </c:pt>
                <c:pt idx="1">
                  <c:v>2015 m.</c:v>
                </c:pt>
                <c:pt idx="2">
                  <c:v>2016 m.</c:v>
                </c:pt>
                <c:pt idx="3">
                  <c:v>2017 m. </c:v>
                </c:pt>
              </c:strCache>
            </c:strRef>
          </c:cat>
          <c:val>
            <c:numRef>
              <c:f>Sheet1!$C$58:$F$58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FE7D-439E-A157-6D65AED0D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60288"/>
        <c:axId val="124200064"/>
        <c:axId val="0"/>
      </c:bar3DChart>
      <c:catAx>
        <c:axId val="12326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200064"/>
        <c:crosses val="autoZero"/>
        <c:auto val="1"/>
        <c:lblAlgn val="ctr"/>
        <c:lblOffset val="100"/>
        <c:noMultiLvlLbl val="0"/>
      </c:catAx>
      <c:valAx>
        <c:axId val="12420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26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Levandraitytė</dc:creator>
  <cp:lastModifiedBy>User</cp:lastModifiedBy>
  <cp:revision>2</cp:revision>
  <dcterms:created xsi:type="dcterms:W3CDTF">2018-02-06T11:19:00Z</dcterms:created>
  <dcterms:modified xsi:type="dcterms:W3CDTF">2018-02-06T11:19:00Z</dcterms:modified>
</cp:coreProperties>
</file>